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null)" ContentType="image/x-em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3F8FDE" w14:textId="13458499" w:rsidR="004A25E8" w:rsidRPr="003355B8" w:rsidRDefault="00301FB5" w:rsidP="00301FB5">
      <w:pPr>
        <w:pStyle w:val="MStitle"/>
      </w:pPr>
      <w:r w:rsidRPr="003355B8">
        <w:rPr>
          <w:rFonts w:hint="cs"/>
          <w:lang w:val="en-US"/>
        </w:rPr>
        <w:t xml:space="preserve">Linking </w:t>
      </w:r>
      <w:r w:rsidRPr="003355B8">
        <w:rPr>
          <w:lang w:val="en-US"/>
        </w:rPr>
        <w:t>R</w:t>
      </w:r>
      <w:r w:rsidRPr="003355B8">
        <w:rPr>
          <w:rFonts w:hint="cs"/>
          <w:lang w:val="en-US"/>
        </w:rPr>
        <w:t xml:space="preserve">esilience and </w:t>
      </w:r>
      <w:r w:rsidRPr="003355B8">
        <w:rPr>
          <w:lang w:val="en-US"/>
        </w:rPr>
        <w:t>R</w:t>
      </w:r>
      <w:r w:rsidRPr="003355B8">
        <w:rPr>
          <w:rFonts w:hint="cs"/>
          <w:lang w:val="en-US"/>
        </w:rPr>
        <w:t xml:space="preserve">obustness and </w:t>
      </w:r>
      <w:r w:rsidRPr="003355B8">
        <w:rPr>
          <w:lang w:val="en-US"/>
        </w:rPr>
        <w:t>U</w:t>
      </w:r>
      <w:r w:rsidRPr="003355B8">
        <w:rPr>
          <w:rFonts w:hint="cs"/>
          <w:lang w:val="en-US"/>
        </w:rPr>
        <w:t xml:space="preserve">ncovering their </w:t>
      </w:r>
      <w:r w:rsidRPr="003355B8">
        <w:rPr>
          <w:lang w:val="en-US"/>
        </w:rPr>
        <w:t>T</w:t>
      </w:r>
      <w:r w:rsidRPr="003355B8">
        <w:rPr>
          <w:rFonts w:hint="cs"/>
          <w:lang w:val="en-US"/>
        </w:rPr>
        <w:t xml:space="preserve">rade-offs in </w:t>
      </w:r>
      <w:r w:rsidRPr="003355B8">
        <w:rPr>
          <w:lang w:val="en-US"/>
        </w:rPr>
        <w:t>C</w:t>
      </w:r>
      <w:r w:rsidRPr="003355B8">
        <w:rPr>
          <w:rFonts w:hint="cs"/>
          <w:lang w:val="en-US"/>
        </w:rPr>
        <w:t xml:space="preserve">oupled </w:t>
      </w:r>
      <w:r w:rsidRPr="003355B8">
        <w:rPr>
          <w:lang w:val="en-US"/>
        </w:rPr>
        <w:t>I</w:t>
      </w:r>
      <w:r w:rsidRPr="003355B8">
        <w:rPr>
          <w:rFonts w:hint="cs"/>
          <w:lang w:val="en-US"/>
        </w:rPr>
        <w:t xml:space="preserve">nfrastructure </w:t>
      </w:r>
      <w:r w:rsidRPr="003355B8">
        <w:rPr>
          <w:lang w:val="en-US"/>
        </w:rPr>
        <w:t>S</w:t>
      </w:r>
      <w:r w:rsidRPr="003355B8">
        <w:rPr>
          <w:rFonts w:hint="cs"/>
          <w:lang w:val="en-US"/>
        </w:rPr>
        <w:t>ystems</w:t>
      </w:r>
    </w:p>
    <w:p w14:paraId="207EE0A3" w14:textId="6CFC9EDF" w:rsidR="004A25E8" w:rsidRPr="003355B8" w:rsidRDefault="004A25E8" w:rsidP="00BB4A41">
      <w:pPr>
        <w:pStyle w:val="Authors"/>
        <w:rPr>
          <w:vertAlign w:val="superscript"/>
        </w:rPr>
      </w:pPr>
      <w:r w:rsidRPr="003355B8">
        <w:t>Mehran Homayounfar</w:t>
      </w:r>
      <w:r w:rsidR="004D10AF" w:rsidRPr="003355B8">
        <w:rPr>
          <w:vertAlign w:val="superscript"/>
        </w:rPr>
        <w:t>1</w:t>
      </w:r>
      <w:r w:rsidRPr="003355B8">
        <w:t>, </w:t>
      </w:r>
      <w:proofErr w:type="spellStart"/>
      <w:r w:rsidRPr="003355B8">
        <w:t>Rachata</w:t>
      </w:r>
      <w:proofErr w:type="spellEnd"/>
      <w:r w:rsidRPr="003355B8">
        <w:t> Muneepeerakul</w:t>
      </w:r>
      <w:r w:rsidR="004D10AF" w:rsidRPr="003355B8">
        <w:rPr>
          <w:vertAlign w:val="superscript"/>
        </w:rPr>
        <w:t>1</w:t>
      </w:r>
      <w:r w:rsidRPr="003355B8">
        <w:t xml:space="preserve">, </w:t>
      </w:r>
      <w:r w:rsidR="005008DA" w:rsidRPr="003355B8">
        <w:t>John M.</w:t>
      </w:r>
      <w:r w:rsidRPr="003355B8">
        <w:t xml:space="preserve"> Anderies</w:t>
      </w:r>
      <w:r w:rsidR="004D10AF" w:rsidRPr="003355B8">
        <w:rPr>
          <w:vertAlign w:val="superscript"/>
        </w:rPr>
        <w:t>2</w:t>
      </w:r>
      <w:r w:rsidR="00F41E44" w:rsidRPr="003355B8">
        <w:t xml:space="preserve">, and </w:t>
      </w:r>
      <w:proofErr w:type="spellStart"/>
      <w:r w:rsidR="00F41E44" w:rsidRPr="003355B8">
        <w:t>Chitsomanus</w:t>
      </w:r>
      <w:proofErr w:type="spellEnd"/>
      <w:r w:rsidR="00F41E44" w:rsidRPr="003355B8">
        <w:t xml:space="preserve"> P. Muneepeerakul</w:t>
      </w:r>
      <w:r w:rsidR="00F41E44" w:rsidRPr="003355B8">
        <w:rPr>
          <w:vertAlign w:val="superscript"/>
        </w:rPr>
        <w:t>3</w:t>
      </w:r>
    </w:p>
    <w:p w14:paraId="5767EB59" w14:textId="3267C12E" w:rsidR="004D10AF" w:rsidRPr="003355B8" w:rsidRDefault="004D10AF" w:rsidP="004D10AF">
      <w:pPr>
        <w:pStyle w:val="Affiliation"/>
      </w:pPr>
      <w:r w:rsidRPr="003355B8">
        <w:rPr>
          <w:vertAlign w:val="superscript"/>
        </w:rPr>
        <w:t>1</w:t>
      </w:r>
      <w:r w:rsidRPr="003355B8">
        <w:t>Department of Agricultural and Biological Engineering, University of Florida, Gainesville, Florida, USA</w:t>
      </w:r>
    </w:p>
    <w:p w14:paraId="083A1537" w14:textId="48B61160" w:rsidR="004D10AF" w:rsidRPr="003355B8" w:rsidRDefault="004D10AF" w:rsidP="004D10AF">
      <w:pPr>
        <w:pStyle w:val="Affiliation"/>
      </w:pPr>
      <w:r w:rsidRPr="003355B8">
        <w:rPr>
          <w:vertAlign w:val="superscript"/>
        </w:rPr>
        <w:t>2</w:t>
      </w:r>
      <w:r w:rsidRPr="003355B8">
        <w:t>School of Sustainability and School of Human Evolution and Social Change, Arizona State University, Tempe, Arizona, USA</w:t>
      </w:r>
    </w:p>
    <w:p w14:paraId="0BC56C0A" w14:textId="70810514" w:rsidR="00F41E44" w:rsidRPr="003355B8" w:rsidRDefault="00F41E44" w:rsidP="004D10AF">
      <w:pPr>
        <w:pStyle w:val="Affiliation"/>
      </w:pPr>
      <w:r w:rsidRPr="003355B8">
        <w:rPr>
          <w:vertAlign w:val="superscript"/>
        </w:rPr>
        <w:t>3</w:t>
      </w:r>
      <w:r w:rsidRPr="003355B8">
        <w:t>Independent researcher, Gainesville, Florida, USA</w:t>
      </w:r>
    </w:p>
    <w:p w14:paraId="3E7C8E67" w14:textId="516AD867" w:rsidR="004A25E8" w:rsidRPr="003355B8" w:rsidRDefault="00A00714" w:rsidP="00A00714">
      <w:pPr>
        <w:pStyle w:val="Correspondence"/>
      </w:pPr>
      <w:r w:rsidRPr="003355B8">
        <w:rPr>
          <w:i/>
        </w:rPr>
        <w:t>Correspondence to</w:t>
      </w:r>
      <w:r w:rsidRPr="003355B8">
        <w:t xml:space="preserve">: </w:t>
      </w:r>
      <w:r w:rsidR="00B97149" w:rsidRPr="003355B8">
        <w:t xml:space="preserve">Mehran </w:t>
      </w:r>
      <w:proofErr w:type="spellStart"/>
      <w:r w:rsidRPr="003355B8">
        <w:t>Homayounfar</w:t>
      </w:r>
      <w:proofErr w:type="spellEnd"/>
      <w:r w:rsidRPr="003355B8">
        <w:t xml:space="preserve"> (</w:t>
      </w:r>
      <w:hyperlink r:id="rId8" w:history="1">
        <w:r w:rsidR="00F41E44" w:rsidRPr="003355B8">
          <w:rPr>
            <w:rStyle w:val="Hyperlink"/>
            <w:color w:val="auto"/>
          </w:rPr>
          <w:t>homayounfar@ufl.edu</w:t>
        </w:r>
      </w:hyperlink>
      <w:r w:rsidRPr="003355B8">
        <w:t>)</w:t>
      </w:r>
    </w:p>
    <w:p w14:paraId="0C965C2B" w14:textId="0AFCC754" w:rsidR="004A25E8" w:rsidRPr="003355B8" w:rsidRDefault="004A25E8" w:rsidP="004635AC">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b/>
          <w:color w:val="auto"/>
          <w:sz w:val="20"/>
          <w:szCs w:val="24"/>
          <w:lang w:val="en-GB" w:eastAsia="de-DE"/>
        </w:rPr>
        <w:t>A</w:t>
      </w:r>
      <w:r w:rsidR="00425ABB" w:rsidRPr="003355B8">
        <w:rPr>
          <w:rFonts w:ascii="Times New Roman" w:hAnsi="Times New Roman" w:cs="Times New Roman"/>
          <w:b/>
          <w:color w:val="auto"/>
          <w:sz w:val="20"/>
          <w:szCs w:val="24"/>
          <w:lang w:val="en-GB" w:eastAsia="de-DE"/>
        </w:rPr>
        <w:t>bstract</w:t>
      </w:r>
      <w:r w:rsidR="00C06797" w:rsidRPr="003355B8">
        <w:rPr>
          <w:rFonts w:ascii="Times New Roman" w:hAnsi="Times New Roman" w:cs="Times New Roman"/>
          <w:b/>
          <w:color w:val="auto"/>
          <w:sz w:val="20"/>
          <w:szCs w:val="24"/>
          <w:lang w:val="en-GB" w:eastAsia="de-DE"/>
        </w:rPr>
        <w:t>.</w:t>
      </w:r>
      <w:r w:rsidR="00C06797" w:rsidRPr="003355B8">
        <w:rPr>
          <w:rFonts w:ascii="Arial" w:hAnsi="Arial" w:cs="Times New Roman"/>
          <w:b/>
          <w:color w:val="auto"/>
          <w:sz w:val="24"/>
          <w:szCs w:val="24"/>
        </w:rPr>
        <w:t xml:space="preserve"> </w:t>
      </w:r>
      <w:r w:rsidRPr="003355B8">
        <w:rPr>
          <w:rFonts w:ascii="Times New Roman" w:hAnsi="Times New Roman" w:cs="Times New Roman"/>
          <w:color w:val="auto"/>
          <w:sz w:val="20"/>
          <w:szCs w:val="24"/>
          <w:lang w:val="en-GB" w:eastAsia="de-DE"/>
        </w:rPr>
        <w:t xml:space="preserve">Robustness and resilience are concepts in systems thinking that have grown in importance and popularity. For many complex social-ecological systems, however, robustness and resilience are difficult to quantify and the connections and trade-offs between them difficult to study. Most studies have either focused on qualitative approaches to discuss their connections or considered only one of them under </w:t>
      </w:r>
      <w:proofErr w:type="gramStart"/>
      <w:r w:rsidRPr="003355B8">
        <w:rPr>
          <w:rFonts w:ascii="Times New Roman" w:hAnsi="Times New Roman" w:cs="Times New Roman"/>
          <w:color w:val="auto"/>
          <w:sz w:val="20"/>
          <w:szCs w:val="24"/>
          <w:lang w:val="en-GB" w:eastAsia="de-DE"/>
        </w:rPr>
        <w:t>particular classes</w:t>
      </w:r>
      <w:proofErr w:type="gramEnd"/>
      <w:r w:rsidRPr="003355B8">
        <w:rPr>
          <w:rFonts w:ascii="Times New Roman" w:hAnsi="Times New Roman" w:cs="Times New Roman"/>
          <w:color w:val="auto"/>
          <w:sz w:val="20"/>
          <w:szCs w:val="24"/>
          <w:lang w:val="en-GB" w:eastAsia="de-DE"/>
        </w:rPr>
        <w:t xml:space="preserve"> of disturbances. In this study, we present an analytical framework to address the linkage between robustness and resilience more systematically. Our analysis is based on a stylized dynamical model that operationalizes a widely used concept</w:t>
      </w:r>
      <w:r w:rsidR="00EB347A" w:rsidRPr="003355B8">
        <w:rPr>
          <w:rFonts w:ascii="Times New Roman" w:hAnsi="Times New Roman" w:cs="Times New Roman"/>
          <w:color w:val="auto"/>
          <w:sz w:val="20"/>
          <w:szCs w:val="24"/>
          <w:lang w:val="en-GB" w:eastAsia="de-DE"/>
        </w:rPr>
        <w:t>ual</w:t>
      </w:r>
      <w:r w:rsidRPr="003355B8">
        <w:rPr>
          <w:rFonts w:ascii="Times New Roman" w:hAnsi="Times New Roman" w:cs="Times New Roman"/>
          <w:color w:val="auto"/>
          <w:sz w:val="20"/>
          <w:szCs w:val="24"/>
          <w:lang w:val="en-GB" w:eastAsia="de-DE"/>
        </w:rPr>
        <w:t xml:space="preserve"> framework for social-ecological systems. The model enables us to rigorously delineate the boundaries of conditions under which the coupled system can be sustained in a long run, define robustness and resilience related to these boundaries, and consequently investigate their connections. The results reveal the trade</w:t>
      </w:r>
      <w:r w:rsidR="00FB17A8"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offs between robustness and resilience. They also show how the nature of such trade</w:t>
      </w:r>
      <w:r w:rsidR="00FB17A8"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xml:space="preserve">offs varies with the choices of certain policies (e.g., taxation and investment in public infrastructure), internal stresses and </w:t>
      </w:r>
      <w:r w:rsidR="00376756" w:rsidRPr="003355B8">
        <w:rPr>
          <w:rFonts w:ascii="Times New Roman" w:hAnsi="Times New Roman" w:cs="Times New Roman"/>
          <w:color w:val="auto"/>
          <w:sz w:val="20"/>
          <w:szCs w:val="24"/>
          <w:lang w:val="en-GB" w:eastAsia="de-DE"/>
        </w:rPr>
        <w:t>uncertainty in social-ecological settings</w:t>
      </w:r>
      <w:r w:rsidRPr="003355B8">
        <w:rPr>
          <w:rFonts w:ascii="Times New Roman" w:hAnsi="Times New Roman" w:cs="Times New Roman"/>
          <w:color w:val="auto"/>
          <w:sz w:val="20"/>
          <w:szCs w:val="24"/>
          <w:lang w:val="en-GB" w:eastAsia="de-DE"/>
        </w:rPr>
        <w:t>.</w:t>
      </w:r>
    </w:p>
    <w:p w14:paraId="7F5A8AB9" w14:textId="6C03F363" w:rsidR="004A25E8" w:rsidRPr="003355B8" w:rsidRDefault="004A25E8" w:rsidP="00CE437F">
      <w:pPr>
        <w:pStyle w:val="Heading1"/>
        <w:keepLines w:val="0"/>
        <w:numPr>
          <w:ilvl w:val="0"/>
          <w:numId w:val="31"/>
        </w:numPr>
        <w:spacing w:after="240" w:line="240" w:lineRule="auto"/>
        <w:ind w:left="180" w:hanging="180"/>
        <w:jc w:val="both"/>
        <w:rPr>
          <w:rFonts w:ascii="Times New Roman" w:hAnsi="Times New Roman" w:cs="Arial"/>
          <w:bCs/>
          <w:color w:val="auto"/>
          <w:kern w:val="32"/>
          <w:sz w:val="20"/>
          <w:szCs w:val="32"/>
          <w:lang w:val="en-GB" w:eastAsia="de-DE"/>
        </w:rPr>
      </w:pPr>
      <w:r w:rsidRPr="003355B8">
        <w:rPr>
          <w:rFonts w:ascii="Times New Roman" w:hAnsi="Times New Roman" w:cs="Arial"/>
          <w:bCs/>
          <w:color w:val="auto"/>
          <w:kern w:val="32"/>
          <w:sz w:val="20"/>
          <w:szCs w:val="32"/>
          <w:lang w:val="en-GB" w:eastAsia="de-DE"/>
        </w:rPr>
        <w:t>Introduction</w:t>
      </w:r>
    </w:p>
    <w:p w14:paraId="4F88E8BF" w14:textId="6F7B84D6" w:rsidR="004A25E8" w:rsidRPr="003355B8" w:rsidRDefault="00EB347A" w:rsidP="004635AC">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The c</w:t>
      </w:r>
      <w:r w:rsidR="004A25E8" w:rsidRPr="003355B8">
        <w:rPr>
          <w:rFonts w:ascii="Times New Roman" w:hAnsi="Times New Roman" w:cs="Times New Roman"/>
          <w:color w:val="auto"/>
          <w:sz w:val="20"/>
          <w:szCs w:val="24"/>
          <w:lang w:val="en-GB" w:eastAsia="de-DE"/>
        </w:rPr>
        <w:t xml:space="preserve">oncepts of “resilience” and “robustness” have grown considerably in popularity as desirable properties for a wide range of systems. Terms like “resilient communities” and “robust cities” have been used more frequently in public </w:t>
      </w:r>
      <w:r w:rsidR="00061AAE" w:rsidRPr="003355B8">
        <w:rPr>
          <w:rFonts w:ascii="Times New Roman" w:hAnsi="Times New Roman" w:cs="Times New Roman"/>
          <w:color w:val="auto"/>
          <w:sz w:val="20"/>
          <w:szCs w:val="24"/>
          <w:lang w:val="en-GB" w:eastAsia="de-DE"/>
        </w:rPr>
        <w:t>discourse (</w:t>
      </w:r>
      <w:r w:rsidR="00CB0046" w:rsidRPr="003355B8">
        <w:rPr>
          <w:rFonts w:ascii="Times New Roman" w:hAnsi="Times New Roman" w:cs="Times New Roman"/>
          <w:color w:val="auto"/>
          <w:sz w:val="20"/>
          <w:szCs w:val="24"/>
          <w:lang w:val="en-GB" w:eastAsia="de-DE"/>
        </w:rPr>
        <w:t xml:space="preserve">e.g., </w:t>
      </w:r>
      <w:r w:rsidR="00061AAE" w:rsidRPr="003355B8">
        <w:rPr>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"10.1193/1.1775796", "ISBN" : "8755-2930", "ISSN" : "87552930", "abstract" : "This paper demonstrates the concept of disaster resilience through the de- velopment and application of quantitative measures. As the idea of building disaster-resilient communities gains acceptance, new methods are needed that go beyond estimating monetary losses and that address the complex, multiple dimensions of resilience. These dimensions include technical, organizational, social, and economic facets. This paper first proposes resilience measures that relate expected losses in future disasters to a community\u2019s seismic per- formance objectives. It then demonstrates these measures in a case study of the Memphis, Tennessee, water delivery system. An existing earthquake loss estimation model provides a starting point for quantifying resilience. The analysis compares two seismic retrofit strategies and finds that only one im- proves community resilience over the status quo. However, it does not raise resilience to an adequate degree. The exercise demonstrates that the resilience framework can be valuable for guiding mitigation and preparedness efforts. However, to fully implement the concept, new research on resilience is needed that goes beyond loss estimation modeling.", "author" : [ { "dropping-particle" : "", "family" : "Chang", "given" : "Stephanie E.", "non-dropping-particle" : "", "parse-names" : false, "suffix" : "" }, { "dropping-particle" : "", "family" : "Shinozuka", "given" : "Masanobu", "non-dropping-particle" : "", "parse-names" : false, "suffix" : "" } ], "container-title" : "Earthquake Spectra", "id" : "ITEM-1", "issue" : "3", "issued" : { "date-parts" : [ [ "2004" ] ] }, "page" : "739-755", "title" : "Measuring improvements in the disaster resilience of communities", "type" : "article-journal", "volume" : "20" }, "uris" : [ "http://www.mendeley.com/documents/?uuid=994360d3-183b-4a2f-a1b0-96bd32b06c66" ] }, { "id" : "ITEM-2", "itemData" : { "author" : [ { "dropping-particle" : "", "family" : "Longstaff", "given" : "Patricia H H", "non-dropping-particle" : "", "parse-names" : false, "suffix" : "" }, { "dropping-particle" : "", "family" : "Armstrong", "given" : "Nicholas J J", "non-dropping-particle" : "", "parse-names" : false, "suffix" : "" }, { "dropping-particle" : "", "family" : "Perrin", "given" : "Keli", "non-dropping-particle" : "", "parse-names" : false, "suffix" : "" }, { "dropping-particle" : "", "family" : "May", "given" : "Whitney", "non-dropping-particle" : "", "parse-names" : false, "suffix" : "" }, { "dropping-particle" : "", "family" : "Hidek", "given" : "Matthew A a", "non-dropping-particle" : "", "parse-names" : false, "suffix" : "" }, { "dropping-particle" : "", "family" : "Parker", "given" : "Whitney May", "non-dropping-particle" : "", "parse-names" : false, "suffix" : "" }, { "dropping-particle" : "", "family" : "Hidek", "given" : "Matthew A a", "non-dropping-particle" : "", "parse-names" : false, "suffix" : "" } ], "container-title" : "Homeland Security Affairs", "id" : "ITEM-2", "issue" : "3", "issued" : { "date-parts" : [ [ "2010" ] ] }, "page" : "1-23", "title" : "Building resilient communities: A preliminary framework for assessment", "type" : "article-journal", "volume" : "6" }, "uris" : [ "http://www.mendeley.com/documents/?uuid=b071638e-e43e-4cc2-8ac5-cfd9ce014096" ] }, { "id" : "ITEM-3", "itemData" : { "DOI" : "10.1111/risa.12133", "ISBN" : "0272-4332", "ISSN" : "15396924", "PMID" : "24152135", "abstract" : "Resilient infrastructure systems are essential for cities to withstand and rapidly recover from natural and human-induced disasters, yet electric power, transportation, and other infrastructures are highly vulnerable and interdependent. New approaches for characterizing the resilience of sets of infrastructure systems are urgently needed, at community and regional scales. This article develops a practical approach for analysts to characterize a community's infrastructure vulnerability and resilience in disasters. It addresses key challenges of incomplete incentives, partial information, and few opportunities for learning. The approach is demonstrated for Metro Vancouver, Canada, in the context of earthquake and flood risk. The methodological approach is practical and focuses on potential disruptions to infrastructure services. In spirit, it resembles probability elicitation with multiple experts; however, it elicits disruption and recovery over time, rather than uncertainties regarding system function at a given point in time. It develops information on regional infrastructure risk and engages infrastructure organizations in the process. Information sharing, iteration, and learning among the participants provide the basis for more informed estimates of infrastructure system robustness and recovery that incorporate the potential for interdependent failures after an extreme event. Results demonstrate the vital importance of cross-sectoral communication to develop shared understanding of regional infrastructure disruption in disasters. For Vancouver, specific results indicate that in a hypothetical M7.3 earthquake, virtually all infrastructures would suffer severe disruption of service in the immediate aftermath, with many experiencing moderate disruption two weeks afterward. Electric power, land transportation, and telecommunications are identified as core infrastructure sectors.", "author" : [ { "dropping-particle" : "", "family" : "Chang", "given" : "Stephanie E.", "non-dropping-particle" : "", "parse-names" : false, "suffix" : "" }, { "dropping-particle" : "", "family" : "Mcdaniels", "given" : "Timothy", "non-dropping-particle" : "", "parse-names" : false, "suffix" : "" }, { "dropping-particle" : "", "family" : "Fox", "given" : "Jana", "non-dropping-particle" : "", "parse-names" : false, "suffix" : "" }, { "dropping-particle" : "", "family" : "Dhariwal", "given" : "Rajan", "non-dropping-particle" : "", "parse-names" : false, "suffix" : "" }, { "dropping-particle" : "", "family" : "Longstaff", "given" : "Holly", "non-dropping-particle" : "", "parse-names" : false, "suffix" : "" } ], "container-title" : "Risk Analysis", "id" : "ITEM-3", "issue" : "3", "issued" : { "date-parts" : [ [ "2014" ] ] }, "page" : "416-434", "title" : "Toward disaster-resilient cities: Characterizing resilience of infrastructure systems with expert judgments", "type" : "article-journal", "volume" : "34" }, "uris" : [ "http://www.mendeley.com/documents/?uuid=d86175e8-0ffc-4355-8985-70524c7b9e92" ] } ], "mendeley" : { "formattedCitation" : "(Chang and Shinozuka; Longstaff et al.; Chang et al.)", "manualFormatting" : "Chang and Shinozuka, 2004; Longstaff et al., 2010; Chang et al., 2014)", "plainTextFormattedCitation" : "(Chang and Shinozuka; Longstaff et al.; Chang et al.)", "previouslyFormattedCitation" : "(Chang and Shinozuka; Longstaff et al.; Chang et al.)" }, "properties" : { "noteIndex" : 0 }, "schema" : "https://github.com/citation-style-language/schema/raw/master/csl-citation.json" }</w:instrText>
      </w:r>
      <w:r w:rsidR="00061AAE" w:rsidRPr="003355B8">
        <w:rPr>
          <w:rFonts w:ascii="Times New Roman" w:hAnsi="Times New Roman" w:cs="Times New Roman"/>
          <w:color w:val="auto"/>
          <w:sz w:val="20"/>
          <w:szCs w:val="24"/>
          <w:lang w:val="en-GB" w:eastAsia="de-DE"/>
        </w:rPr>
        <w:fldChar w:fldCharType="separate"/>
      </w:r>
      <w:r w:rsidR="00061AAE" w:rsidRPr="003355B8">
        <w:rPr>
          <w:rFonts w:ascii="Times New Roman" w:hAnsi="Times New Roman" w:cs="Times New Roman"/>
          <w:noProof/>
          <w:color w:val="auto"/>
          <w:sz w:val="20"/>
          <w:szCs w:val="24"/>
          <w:lang w:val="en-GB" w:eastAsia="de-DE"/>
        </w:rPr>
        <w:t>Chang and Shinozuka, 2004; Longstaff et al., 2010; Chang et al., 2014)</w:t>
      </w:r>
      <w:r w:rsidR="00061AAE" w:rsidRPr="003355B8">
        <w:rPr>
          <w:rFonts w:ascii="Times New Roman" w:hAnsi="Times New Roman" w:cs="Times New Roman"/>
          <w:color w:val="auto"/>
          <w:sz w:val="20"/>
          <w:szCs w:val="24"/>
          <w:lang w:val="en-GB" w:eastAsia="de-DE"/>
        </w:rPr>
        <w:fldChar w:fldCharType="end"/>
      </w:r>
      <w:r w:rsidR="00173325" w:rsidRPr="003355B8">
        <w:rPr>
          <w:rFonts w:ascii="Times New Roman" w:hAnsi="Times New Roman" w:cs="Times New Roman"/>
          <w:color w:val="auto"/>
          <w:sz w:val="20"/>
          <w:szCs w:val="24"/>
          <w:lang w:val="en-GB" w:eastAsia="de-DE"/>
        </w:rPr>
        <w:t xml:space="preserve">. </w:t>
      </w:r>
      <w:r w:rsidR="00CB0046" w:rsidRPr="003355B8">
        <w:rPr>
          <w:rFonts w:ascii="Times New Roman" w:hAnsi="Times New Roman" w:cs="Times New Roman"/>
          <w:color w:val="auto"/>
          <w:sz w:val="20"/>
          <w:szCs w:val="24"/>
          <w:lang w:val="en-GB" w:eastAsia="de-DE"/>
        </w:rPr>
        <w:t xml:space="preserve">The UK’s Water Act 2014 even included </w:t>
      </w:r>
      <w:r w:rsidR="00627894" w:rsidRPr="003355B8">
        <w:rPr>
          <w:rFonts w:ascii="Times New Roman" w:hAnsi="Times New Roman" w:cs="Times New Roman"/>
          <w:color w:val="auto"/>
          <w:sz w:val="20"/>
          <w:szCs w:val="24"/>
          <w:lang w:val="en-GB" w:eastAsia="de-DE"/>
        </w:rPr>
        <w:t xml:space="preserve">“primary duty to secure resilience” </w:t>
      </w:r>
      <w:r w:rsidR="00CB0046" w:rsidRPr="003355B8">
        <w:rPr>
          <w:rFonts w:ascii="Times New Roman" w:hAnsi="Times New Roman" w:cs="Times New Roman"/>
          <w:color w:val="auto"/>
          <w:sz w:val="20"/>
          <w:szCs w:val="24"/>
          <w:lang w:val="en-GB" w:eastAsia="de-DE"/>
        </w:rPr>
        <w:t xml:space="preserve">as one of the general duties of its </w:t>
      </w:r>
      <w:r w:rsidR="00CB0046" w:rsidRPr="003355B8">
        <w:rPr>
          <w:rFonts w:ascii="Times New Roman" w:hAnsi="Times New Roman" w:cs="Times New Roman"/>
          <w:color w:val="auto"/>
          <w:sz w:val="20"/>
          <w:szCs w:val="24"/>
          <w:lang w:eastAsia="de-DE"/>
        </w:rPr>
        <w:t>Water Services Regulation Authority</w:t>
      </w:r>
      <w:r w:rsidR="00627894" w:rsidRPr="003355B8">
        <w:rPr>
          <w:rFonts w:ascii="Times New Roman" w:hAnsi="Times New Roman" w:cs="Times New Roman"/>
          <w:color w:val="auto"/>
          <w:sz w:val="20"/>
          <w:szCs w:val="24"/>
          <w:lang w:eastAsia="de-DE"/>
        </w:rPr>
        <w:t xml:space="preserve"> (</w:t>
      </w:r>
      <w:hyperlink r:id="rId9" w:history="1">
        <w:r w:rsidR="00627894" w:rsidRPr="003355B8">
          <w:rPr>
            <w:rStyle w:val="Hyperlink"/>
            <w:rFonts w:ascii="Times New Roman" w:hAnsi="Times New Roman" w:cs="Times New Roman"/>
            <w:color w:val="auto"/>
            <w:sz w:val="20"/>
            <w:szCs w:val="24"/>
            <w:lang w:eastAsia="de-DE"/>
          </w:rPr>
          <w:t>http://www.legislation.gov.uk/ukpga/2014/21/contents/enacted</w:t>
        </w:r>
      </w:hyperlink>
      <w:r w:rsidR="00627894" w:rsidRPr="003355B8">
        <w:rPr>
          <w:rFonts w:ascii="Times New Roman" w:hAnsi="Times New Roman" w:cs="Times New Roman"/>
          <w:color w:val="auto"/>
          <w:sz w:val="20"/>
          <w:szCs w:val="24"/>
          <w:lang w:eastAsia="de-DE"/>
        </w:rPr>
        <w:t xml:space="preserve">). </w:t>
      </w:r>
      <w:r w:rsidR="004A25E8" w:rsidRPr="003355B8">
        <w:rPr>
          <w:rFonts w:ascii="Times New Roman" w:hAnsi="Times New Roman" w:cs="Times New Roman"/>
          <w:color w:val="auto"/>
          <w:sz w:val="20"/>
          <w:szCs w:val="24"/>
          <w:lang w:val="en-GB" w:eastAsia="de-DE"/>
        </w:rPr>
        <w:t xml:space="preserve">Growing with that popularity </w:t>
      </w:r>
      <w:r w:rsidRPr="003355B8">
        <w:rPr>
          <w:rFonts w:ascii="Times New Roman" w:hAnsi="Times New Roman" w:cs="Times New Roman"/>
          <w:color w:val="auto"/>
          <w:sz w:val="20"/>
          <w:szCs w:val="24"/>
          <w:lang w:val="en-GB" w:eastAsia="de-DE"/>
        </w:rPr>
        <w:t>is</w:t>
      </w:r>
      <w:r w:rsidR="004A25E8" w:rsidRPr="003355B8">
        <w:rPr>
          <w:rFonts w:ascii="Times New Roman" w:hAnsi="Times New Roman" w:cs="Times New Roman"/>
          <w:color w:val="auto"/>
          <w:sz w:val="20"/>
          <w:szCs w:val="24"/>
          <w:lang w:val="en-GB" w:eastAsia="de-DE"/>
        </w:rPr>
        <w:t xml:space="preserve"> some confusion and potential misuse of the terms “robustness” and “resilience” due to imprecision, vagueness, and multiplicity of their definitions. Such lack of consistency and rigor hinders advances in our understanding of the interplay between these two important </w:t>
      </w:r>
      <w:r w:rsidRPr="003355B8">
        <w:rPr>
          <w:rFonts w:ascii="Times New Roman" w:hAnsi="Times New Roman" w:cs="Times New Roman"/>
          <w:color w:val="auto"/>
          <w:sz w:val="20"/>
          <w:szCs w:val="24"/>
          <w:lang w:val="en-GB" w:eastAsia="de-DE"/>
        </w:rPr>
        <w:t xml:space="preserve">system </w:t>
      </w:r>
      <w:r w:rsidR="004A25E8" w:rsidRPr="003355B8">
        <w:rPr>
          <w:rFonts w:ascii="Times New Roman" w:hAnsi="Times New Roman" w:cs="Times New Roman"/>
          <w:color w:val="auto"/>
          <w:sz w:val="20"/>
          <w:szCs w:val="24"/>
          <w:lang w:val="en-GB" w:eastAsia="de-DE"/>
        </w:rPr>
        <w:t>properties.</w:t>
      </w:r>
    </w:p>
    <w:p w14:paraId="5255C5DF" w14:textId="0753DC35" w:rsidR="004A25E8" w:rsidRPr="003355B8" w:rsidRDefault="004A25E8" w:rsidP="004635AC">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Relatively speaking, robustness has been defined more consistently and rigorously—as it can be linked to a more familiar concept of sensitivity. For example, according to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"10.1073/pnas.012582499", "ISBN" : "0027-8424", "ISSN" : "0027-8424", "PMID" : "11875207", "abstract" : "Highly optimized tolerance (HOT) was recently introduced as a conceptual framework to study fundamental aspects of complexity. HOT is motivated primarily by systems from biology and engineering and emphasizes, (i) highly structured, nongeneric, self-dissimilar internal configurations, and (ii) robust yet fragile external behavior. HOT claims these are the most important features of complexity and not accidents of evolution or artifices of engineering design but are inevitably intertwined and mutually reinforcing. In the spirit of this collection, our paper contrasts HOT with alternative perspectives on complexity, drawing on real-world examples and also model systems, particularly those from self-organized criticality.", "author" : [ { "dropping-particle" : "", "family" : "Carlson", "given" : "J. M.", "non-dropping-particle" : "", "parse-names" : false, "suffix" : "" }, { "dropping-particle" : "", "family" : "Doyle", "given" : "J.", "non-dropping-particle" : "", "parse-names" : false, "suffix" : "" } ], "container-title" : "Proceedings of the National Academy of Sciences", "id" : "ITEM-1", "issue" : "Supplement 1", "issued" : { "date-parts" : [ [ "2002" ] ] }, "page" : "2538-2545", "title" : "Complexity and robustness", "type" : "article-journal", "volume" : "99" }, "uris" : [ "http://www.mendeley.com/documents/?uuid=23649324-1d9b-4b2f-ba45-3e50fd9b8ddc" ] } ], "mendeley" : { "formattedCitation" : "(Carlson and Doyle)", "manualFormatting" : "Carlson and Doyle (2002)", "plainTextFormattedCitation" : "(Carlson and Doyle)", "previouslyFormattedCitation" : "(Carlson and Doyle)"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Carlson and Doyle (2002)</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robustness in engineering </w:t>
      </w:r>
      <w:r w:rsidRPr="003355B8">
        <w:rPr>
          <w:rFonts w:ascii="Times New Roman" w:hAnsi="Times New Roman" w:cs="Times New Roman"/>
          <w:color w:val="auto"/>
          <w:sz w:val="20"/>
          <w:szCs w:val="24"/>
          <w:lang w:val="en-GB" w:eastAsia="de-DE"/>
        </w:rPr>
        <w:lastRenderedPageBreak/>
        <w:t>systems refers to the maintenance of system performance either when subjected to external disturbances or internal uncertain parameters. In other words, in robust systems, performance is less sensitive to</w:t>
      </w:r>
      <w:r w:rsidR="00632FCB" w:rsidRPr="003355B8" w:rsidDel="00632FCB">
        <w:rPr>
          <w:rFonts w:ascii="Times New Roman" w:hAnsi="Times New Roman" w:cs="Times New Roman"/>
          <w:color w:val="auto"/>
          <w:sz w:val="20"/>
          <w:szCs w:val="24"/>
          <w:lang w:val="en-GB" w:eastAsia="de-DE"/>
        </w:rPr>
        <w:t xml:space="preserve"> </w:t>
      </w:r>
      <w:r w:rsidRPr="003355B8">
        <w:rPr>
          <w:rFonts w:ascii="Times New Roman" w:hAnsi="Times New Roman" w:cs="Times New Roman"/>
          <w:color w:val="auto"/>
          <w:sz w:val="20"/>
          <w:szCs w:val="24"/>
          <w:lang w:val="en-GB" w:eastAsia="de-DE"/>
        </w:rPr>
        <w:t>disturbance</w:t>
      </w:r>
      <w:r w:rsidR="00EB347A" w:rsidRPr="003355B8">
        <w:rPr>
          <w:rFonts w:ascii="Times New Roman" w:hAnsi="Times New Roman" w:cs="Times New Roman"/>
          <w:color w:val="auto"/>
          <w:sz w:val="20"/>
          <w:szCs w:val="24"/>
          <w:lang w:val="en-GB" w:eastAsia="de-DE"/>
        </w:rPr>
        <w:t>s</w:t>
      </w:r>
      <w:r w:rsidRPr="003355B8">
        <w:rPr>
          <w:rFonts w:ascii="Times New Roman" w:hAnsi="Times New Roman" w:cs="Times New Roman"/>
          <w:color w:val="auto"/>
          <w:sz w:val="20"/>
          <w:szCs w:val="24"/>
          <w:lang w:val="en-GB" w:eastAsia="de-DE"/>
        </w:rPr>
        <w:t xml:space="preserve"> or </w:t>
      </w:r>
      <w:r w:rsidR="00632FCB" w:rsidRPr="003355B8">
        <w:rPr>
          <w:rFonts w:ascii="Times New Roman" w:hAnsi="Times New Roman" w:cs="Times New Roman"/>
          <w:color w:val="auto"/>
          <w:sz w:val="20"/>
          <w:szCs w:val="24"/>
          <w:lang w:val="en-GB" w:eastAsia="de-DE"/>
        </w:rPr>
        <w:t>uncertainty</w:t>
      </w:r>
      <w:r w:rsidRPr="003355B8">
        <w:rPr>
          <w:rFonts w:ascii="Times New Roman" w:hAnsi="Times New Roman" w:cs="Times New Roman"/>
          <w:color w:val="auto"/>
          <w:sz w:val="20"/>
          <w:szCs w:val="24"/>
          <w:lang w:val="en-GB" w:eastAsia="de-DE"/>
        </w:rPr>
        <w:t xml:space="preserve">. </w:t>
      </w:r>
    </w:p>
    <w:p w14:paraId="3F94D7B9" w14:textId="602F34DB" w:rsidR="004A25E8" w:rsidRPr="003355B8" w:rsidRDefault="004A25E8" w:rsidP="004635AC">
      <w:pPr>
        <w:spacing w:after="0" w:line="360" w:lineRule="auto"/>
        <w:jc w:val="both"/>
        <w:rPr>
          <w:rFonts w:ascii="Times New Roman" w:hAnsi="Times New Roman" w:cs="Times New Roman"/>
          <w:i/>
          <w:color w:val="auto"/>
          <w:sz w:val="24"/>
          <w:szCs w:val="24"/>
        </w:rPr>
      </w:pPr>
      <w:r w:rsidRPr="003355B8">
        <w:rPr>
          <w:rFonts w:ascii="Times New Roman" w:hAnsi="Times New Roman" w:cs="Times New Roman"/>
          <w:color w:val="auto"/>
          <w:sz w:val="20"/>
          <w:szCs w:val="24"/>
          <w:lang w:val="en-GB" w:eastAsia="de-DE"/>
        </w:rPr>
        <w:t>Robustness may very well be a desirable property of a system, but it seems to come with a price. Recent research shows that tuning a system to be robust against certain disturbance regimes</w:t>
      </w:r>
      <w:r w:rsidR="00EB347A" w:rsidRPr="003355B8">
        <w:rPr>
          <w:rFonts w:ascii="Times New Roman" w:hAnsi="Times New Roman" w:cs="Times New Roman"/>
          <w:color w:val="auto"/>
          <w:sz w:val="20"/>
          <w:szCs w:val="24"/>
          <w:lang w:val="en-GB" w:eastAsia="de-DE"/>
        </w:rPr>
        <w:t xml:space="preserve"> almost always reduces</w:t>
      </w:r>
      <w:r w:rsidRPr="003355B8">
        <w:rPr>
          <w:rFonts w:ascii="Times New Roman" w:hAnsi="Times New Roman" w:cs="Times New Roman"/>
          <w:color w:val="auto"/>
          <w:sz w:val="20"/>
          <w:szCs w:val="24"/>
          <w:lang w:val="en-GB" w:eastAsia="de-DE"/>
        </w:rPr>
        <w:t xml:space="preserve"> system performance and </w:t>
      </w:r>
      <w:r w:rsidR="00EB347A" w:rsidRPr="003355B8">
        <w:rPr>
          <w:rFonts w:ascii="Times New Roman" w:hAnsi="Times New Roman" w:cs="Times New Roman"/>
          <w:color w:val="auto"/>
          <w:sz w:val="20"/>
          <w:szCs w:val="24"/>
          <w:lang w:val="en-GB" w:eastAsia="de-DE"/>
        </w:rPr>
        <w:t xml:space="preserve">likely </w:t>
      </w:r>
      <w:r w:rsidRPr="003355B8">
        <w:rPr>
          <w:rFonts w:ascii="Times New Roman" w:hAnsi="Times New Roman" w:cs="Times New Roman"/>
          <w:color w:val="auto"/>
          <w:sz w:val="20"/>
          <w:szCs w:val="24"/>
          <w:lang w:val="en-GB" w:eastAsia="de-DE"/>
        </w:rPr>
        <w:t xml:space="preserve">increases its vulnerability to other disturbance regimes </w:t>
      </w:r>
      <w:r w:rsidR="00464E77" w:rsidRPr="003355B8">
        <w:rPr>
          <w:rFonts w:ascii="Times New Roman" w:hAnsi="Times New Roman" w:cs="Times New Roman"/>
          <w:color w:val="auto"/>
          <w:sz w:val="20"/>
          <w:szCs w:val="24"/>
          <w:lang w:val="en-GB" w:eastAsia="de-DE"/>
        </w:rPr>
        <w:t>(</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"10.1073/pnas.0701886104", "ISBN" : "1517615178", "ISSN" : "0027-8424", "PMID" : "17881583", "abstract" : "In the context of governance of human-environment interactions, a panacea refers to a blueprint for a single type of governance system (e.g., government ownership, privatization, community property) that is applied to all environmental problems. The aim of this special feature is to provide theoretical analysis and empirical evidence to caution against the tendency, when confronted with pervasive uncertainty, to believe that scholars can generate simple models of linked social-ecological systems and deduce general solutions to the overuse of resources. Practitioners and scholars who fall into panacea traps falsely assume that all problems of resource governance can be represented by a small set of simple models, because they falsely perceive that the preferences and perceptions of most resource users are the same. Readers of this special feature will become acquainted with many cases in which panaceas fail. The articles provide an excellent overview of why they fail. Furthermore, the articles in this special feature address how scholars and public officials can increase the prospects for future sustainable resource use by facilitating a diagnostic approach in selecting appropriate starting points for governance and monitoring, as well as by learning from the outcomes of new policies and adapting in light of effective feedback.", "author" : [ { "dropping-particle" : "", "family" : "Ostrom", "given" : "E.", "non-dropping-particle" : "", "parse-names" : false, "suffix" : "" }, { "dropping-particle" : "", "family" : "Janssen", "given" : "M. A.", "non-dropping-particle" : "", "parse-names" : false, "suffix" : "" }, { "dropping-particle" : "", "family" : "Anderies", "given" : "J. M.", "non-dropping-particle" : "", "parse-names" : false, "suffix" : "" } ], "container-title" : "Proceedings of the National Academy of Sciences", "id" : "ITEM-1", "issue" : "39", "issued" : { "date-parts" : [ [ "2007" ] ] }, "page" : "15176-15178", "title" : "Going beyond panaceas", "type" : "article-journal", "volume" : "104" }, "uris" : [ "http://www.mendeley.com/documents/?uuid=a7ea7c5d-8724-444d-86fd-cbe206ccb34a" ] } ], "mendeley" : { "formattedCitation" : "(Ostrom et al.)", "manualFormatting" : "Ostrom et al., 2007", "plainTextFormattedCitation" : "(Ostrom et al.)", "previouslyFormattedCitation" : "(Ostrom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Ostrom et al., 2007</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"10.1073/pnas.0702655104", "ISBN" : "0702655104", "ISSN" : "0027-8424", "PMID" : "17881574", "abstract" : "A critical challenge faced by sustainability science is to develop strategies to cope with highly uncertain social and ecological dynamics. This article explores the use of the robust control framework toward this end. After briefly outlining the robust control framework, we apply it to the traditional Gordon-Schaefer fishery model to explore fundamental performance-robustness and robustness-vulnerability trade-offs in natural resource management. We find that the classic optimal control policy can be very sensitive to parametric uncertainty. By exploring a large class of alternative strategies, we show that there are no panaceas: even mild robustness properties are difficult to achieve, and increasing robustness to some parameters (e.g., biological parameters) results in decreased robustness with respect to others (e.g., economic parameters). On the basis of this example, we extract some broader themes for better management of resources under uncertainty and for sustainability science in general. Specifically, we focus attention on the importance of a continual learning process and the use of robust control to inform this process.", "author" : [ { "dropping-particle" : "", "family" : "Anderies", "given" : "J. M.", "non-dropping-particle" : "", "parse-names" : false, "suffix" : "" }, { "dropping-particle" : "", "family" : "Rodriguez", "given" : "A. A.", "non-dropping-particle" : "", "parse-names" : false, "suffix" : "" }, { "dropping-particle" : "", "family" : "Janssen", "given" : "M. A.", "non-dropping-particle" : "", "parse-names" : false, "suffix" : "" }, { "dropping-particle" : "", "family" : "Cifdaloz", "given" : "O.", "non-dropping-particle" : "", "parse-names" : false, "suffix" : "" } ], "container-title" : "Proceedings of the National Academy of Sciences", "id" : "ITEM-1", "issue" : "39", "issued" : { "date-parts" : [ [ "2007" ] ] }, "page" : "15194-15199", "title" : "Panaceas, uncertainty, and the robust control framework in sustainability science", "type" : "article-journal", "volume" : "104" }, "uris" : [ "http://www.mendeley.com/documents/?uuid=27eb0abd-18c6-41ea-8617-9e21219bdeb8" ] } ], "mendeley" : { "formattedCitation" : "(J. M. Anderies et al.)", "manualFormatting" : "Anderies et al., 2007", "plainTextFormattedCitation" : "(J. M. Anderies et al.)", "previouslyFormattedCitation" : "(J. M. Anderies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Anderies et al., 2007</w:t>
      </w:r>
      <w:r w:rsidR="000E17FF" w:rsidRPr="003355B8">
        <w:rPr>
          <w:rStyle w:val="FootnoteReference"/>
          <w:rFonts w:ascii="Times New Roman" w:hAnsi="Times New Roman" w:cs="Times New Roman"/>
          <w:color w:val="auto"/>
          <w:sz w:val="20"/>
          <w:szCs w:val="24"/>
          <w:lang w:val="en-GB" w:eastAsia="de-DE"/>
        </w:rPr>
        <w:fldChar w:fldCharType="end"/>
      </w:r>
      <w:r w:rsidR="00503E69" w:rsidRPr="003355B8">
        <w:rPr>
          <w:rFonts w:ascii="Times New Roman" w:hAnsi="Times New Roman" w:cs="Times New Roman"/>
          <w:color w:val="auto"/>
          <w:sz w:val="20"/>
          <w:szCs w:val="24"/>
          <w:lang w:val="en-GB" w:eastAsia="de-DE"/>
        </w:rPr>
        <w:t>;</w:t>
      </w:r>
      <w:r w:rsidR="00EB347A"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"10.1183/09031936.00138507", "ISBN" : "0882752421", "ISSN" : "1744-8395", "PMID" : "6464786", "abstract" : "Peak oxygen uptake (V'(O(2))) remains the gold standard measurement of exercise capacity and has been associated with survival. A modified BODE (body mass index, airflow obstruction, dyspnoea, exercise capacity) index replacing the 6-min walk distance (6MWD) with V'(O(2)) as % predicted (mBODE%) has been developed and found to have excellent correlation with the conventional BODE index. The objectives of the present study were to compare the ability of the conventional BODE and the mBODE% to predict mortality in 444 patients with chronic obstructive pulmonary disease (COPD) followed for a mean+/-SD period of 71+/-34 months. Anthropometrics, spirometry, lung volumes, comorbidity, cardiopulmonary cyclo-ergometry test and 6MWD were determined at entry. The mean BODE indices for the cohort were: BODE 4.1+/-2 and mBODE% 5.5+/-2. Both indices were significantly correlated with mortality. Logistic regression analysis with COPD survival as the dependent variable identified the BODE index, Charlson's and exercise capacity (in W) as variables associated with this outcome. In conclusion, the conventional BODE index, which uses the 6-min walk distance, predicts mortality in chronic obstructive pulmonary disease as well as the modified index using peak oxygen uptake. The results support the use of the simpler index, which includes the 6-min walk distance in the comprehensive evaluation of patients with chronic obstructive pulmonary disease.", "author" : [ { "dropping-particle" : "", "family" : "Bode", "given" : "Hendrik Wade", "non-dropping-particle" : "", "parse-names" : false, "suffix" : "" } ], "container-title" : "Bell Telephone Laboratories series", "id" : "ITEM-1", "issued" : { "date-parts" : [ [ "1945" ] ] }, "page" : "551", "title" : "Network analysis and feedback amplifier design", "type" : "article" }, "uris" : [ "http://www.mendeley.com/documents/?uuid=bff6e306-2fc3-4fc4-9e79-16603a3f4f78" ] } ], "mendeley" : { "formattedCitation" : "(Bode)", "manualFormatting" : "Bode, 1945", "plainTextFormattedCitation" : "(Bode)", "previouslyFormattedCitation" : "(Bode)"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Bode, 1945</w:t>
      </w:r>
      <w:r w:rsidR="000E17FF" w:rsidRPr="003355B8">
        <w:rPr>
          <w:rStyle w:val="FootnoteReference"/>
          <w:rFonts w:ascii="Times New Roman" w:hAnsi="Times New Roman" w:cs="Times New Roman"/>
          <w:color w:val="auto"/>
          <w:sz w:val="20"/>
          <w:szCs w:val="24"/>
          <w:lang w:val="en-GB" w:eastAsia="de-DE"/>
        </w:rPr>
        <w:fldChar w:fldCharType="end"/>
      </w:r>
      <w:r w:rsidR="004D5F8B"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"10.1126/science.1069981", "ISBN" : "1095-9203 (Electronic)", "ISSN" : "1095-9203", "PMID" : "11872830", "abstract" : "Advanced technologies and biology have extremely different physical implementations, but they are far more alike in systems-level organization than is widely appreciated. Convergent evolution in both domains produces modular architectures that are composed of elaborate hierarchies of protocols and layers of feedback regulation, are driven by demand for robustness to uncertain environments, and use often imprecise components. This complexity may be largely hidden in idealized laboratory settings and in normal operation, becoming conspicuous only when contributing to rare cascading failures. These puzzling and paradoxical features are neither accidental nor artificial, but derive from a deep and necessary interplay between complexity and robustness, modularity, feedback, and fragility. This review describes insights from engineering theory and practice that can shed some light on biological complexity.", "author" : [ { "dropping-particle" : "", "family" : "Csete", "given" : "Marie E", "non-dropping-particle" : "", "parse-names" : false, "suffix" : "" }, { "dropping-particle" : "", "family" : "Doyle", "given" : "John C", "non-dropping-particle" : "", "parse-names" : false, "suffix" : "" } ], "container-title" : "Science (New York, N.Y.)", "id" : "ITEM-1", "issue" : "5560", "issued" : { "date-parts" : [ [ "2002" ] ] }, "page" : "1664-9", "title" : "Reverse engineering of biological complexity.", "type" : "article-journal", "volume" : "295" }, "uris" : [ "http://www.mendeley.com/documents/?uuid=bfb6b6a7-08d3-490d-90e4-d4b8d2c1dc61" ] } ], "mendeley" : { "formattedCitation" : "(Csete and Doyle)", "manualFormatting" : "Csete and Doyle, 2002; Wolpert and Macready, 1997)", "plainTextFormattedCitation" : "(Csete and Doyle)", "previouslyFormattedCitation" : "(Csete and Doyle)"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Csete and Doyle, 2002</w:t>
      </w:r>
      <w:r w:rsidR="00A20DC2" w:rsidRPr="003355B8">
        <w:rPr>
          <w:rFonts w:ascii="Times New Roman" w:hAnsi="Times New Roman" w:cs="Times New Roman"/>
          <w:noProof/>
          <w:color w:val="auto"/>
          <w:sz w:val="20"/>
          <w:szCs w:val="24"/>
          <w:lang w:val="en-GB" w:eastAsia="de-DE"/>
        </w:rPr>
        <w:t xml:space="preserve">; </w:t>
      </w:r>
      <w:r w:rsidR="00A20DC2" w:rsidRPr="003355B8">
        <w:rPr>
          <w:rFonts w:ascii="Times New Roman" w:hAnsi="Times New Roman" w:cs="Times New Roman"/>
          <w:noProof/>
          <w:color w:val="auto"/>
          <w:sz w:val="20"/>
          <w:szCs w:val="24"/>
          <w:lang w:val="en-GB" w:eastAsia="de-DE"/>
        </w:rPr>
        <w:fldChar w:fldCharType="begin" w:fldLock="1"/>
      </w:r>
      <w:r w:rsidR="0011373D" w:rsidRPr="003355B8">
        <w:rPr>
          <w:rFonts w:ascii="Times New Roman" w:hAnsi="Times New Roman" w:cs="Times New Roman"/>
          <w:noProof/>
          <w:color w:val="auto"/>
          <w:sz w:val="20"/>
          <w:szCs w:val="24"/>
          <w:lang w:val="en-GB" w:eastAsia="de-DE"/>
        </w:rPr>
        <w:instrText>ADDIN CSL_CITATION { "citationItems" : [ { "id" : "ITEM-1", "itemData" : { "DOI" : "10.1109/4235.585893", "ISBN" : "1089778X", "ISSN" : "1089778X", "PMID" : "97063701362", "abstract" : "A framework is developed to explore the connection between effective optimization algorithms and the problems they are solving. A number of \u201cno free lunch\u201d (NFL) theorems are presented which establish that for any algorithm, any elevated performance over one class of problems is offset by performance over another class. These theorems result in a geometric interpretation of what it means for an algorithm to be well suited to an optimization problem. Applications of the NFL theorems to information-theoretic aspects of optimization and benchmark measures of performance are also presented. Other issues addressed include time-varying optimization problems and a priori \u201chead-to-head\u201d minimax distinctions between optimization algorithms, distinctions that result despite the NFL theorems' enforcing of a type of uniformity over all algorithms", "author" : [ { "dropping-particle" : "", "family" : "Wolpert", "given" : "David H.", "non-dropping-particle" : "", "parse-names" : false, "suffix" : "" }, { "dropping-particle" : "", "family" : "Macready", "given" : "William G.", "non-dropping-particle" : "", "parse-names" : false, "suffix" : "" } ], "container-title" : "IEEE Transactions on Evolutionary Computation", "id" : "ITEM-1", "issue" : "1", "issued" : { "date-parts" : [ [ "1997" ] ] }, "page" : "67-82", "title" : "No free lunch theorems for optimization", "type" : "article-journal", "volume" : "1" }, "uris" : [ "http://www.mendeley.com/documents/?uuid=aa878782-9671-4a78-b67d-3c6e9aefc852" ] } ], "mendeley" : { "formattedCitation" : "(Wolpert and Macready)", "manualFormatting" : "Wolpert and Macready, 1997", "plainTextFormattedCitation" : "(Wolpert and Macready)", "previouslyFormattedCitation" : "(Wolpert and Macready)" }, "properties" : { "noteIndex" : 0 }, "schema" : "https://github.com/citation-style-language/schema/raw/master/csl-citation.json" }</w:instrText>
      </w:r>
      <w:r w:rsidR="00A20DC2" w:rsidRPr="003355B8">
        <w:rPr>
          <w:rFonts w:ascii="Times New Roman" w:hAnsi="Times New Roman" w:cs="Times New Roman"/>
          <w:noProof/>
          <w:color w:val="auto"/>
          <w:sz w:val="20"/>
          <w:szCs w:val="24"/>
          <w:lang w:val="en-GB" w:eastAsia="de-DE"/>
        </w:rPr>
        <w:fldChar w:fldCharType="separate"/>
      </w:r>
      <w:r w:rsidR="00A20DC2" w:rsidRPr="003355B8">
        <w:rPr>
          <w:rFonts w:ascii="Times New Roman" w:hAnsi="Times New Roman" w:cs="Times New Roman"/>
          <w:noProof/>
          <w:color w:val="auto"/>
          <w:sz w:val="20"/>
          <w:szCs w:val="24"/>
          <w:lang w:val="en-GB" w:eastAsia="de-DE"/>
        </w:rPr>
        <w:t>Wolpert and Macready, 1997</w:t>
      </w:r>
      <w:r w:rsidR="00A20DC2" w:rsidRPr="003355B8">
        <w:rPr>
          <w:rFonts w:ascii="Times New Roman" w:hAnsi="Times New Roman" w:cs="Times New Roman"/>
          <w:noProof/>
          <w:color w:val="auto"/>
          <w:sz w:val="20"/>
          <w:szCs w:val="24"/>
          <w:lang w:val="en-GB" w:eastAsia="de-DE"/>
        </w:rPr>
        <w:fldChar w:fldCharType="end"/>
      </w:r>
      <w:r w:rsidR="000E17FF" w:rsidRPr="003355B8">
        <w:rPr>
          <w:rFonts w:ascii="Times New Roman" w:hAnsi="Times New Roman" w:cs="Times New Roman"/>
          <w:noProof/>
          <w:color w:val="auto"/>
          <w:sz w:val="20"/>
          <w:szCs w:val="24"/>
          <w:lang w:val="en-GB" w:eastAsia="de-DE"/>
        </w:rPr>
        <w:t>)</w:t>
      </w:r>
      <w:r w:rsidR="000E17FF" w:rsidRPr="003355B8">
        <w:rPr>
          <w:rStyle w:val="FootnoteReference"/>
          <w:rFonts w:ascii="Times New Roman" w:hAnsi="Times New Roman" w:cs="Times New Roman"/>
          <w:color w:val="auto"/>
          <w:sz w:val="20"/>
          <w:szCs w:val="24"/>
          <w:lang w:val="en-GB" w:eastAsia="de-DE"/>
        </w:rPr>
        <w:fldChar w:fldCharType="end"/>
      </w:r>
      <w:r w:rsidR="00F8128B" w:rsidRPr="003355B8">
        <w:rPr>
          <w:rFonts w:ascii="Times New Roman" w:hAnsi="Times New Roman" w:cs="Times New Roman"/>
          <w:color w:val="auto"/>
          <w:sz w:val="20"/>
          <w:szCs w:val="24"/>
          <w:lang w:val="en-GB" w:eastAsia="de-DE"/>
        </w:rPr>
        <w:t>.</w:t>
      </w:r>
      <w:r w:rsidR="008540E8" w:rsidRPr="003355B8">
        <w:rPr>
          <w:rFonts w:ascii="Times New Roman" w:hAnsi="Times New Roman" w:cs="Times New Roman"/>
          <w:color w:val="auto"/>
          <w:sz w:val="20"/>
          <w:szCs w:val="24"/>
          <w:lang w:val="en-GB" w:eastAsia="de-DE"/>
        </w:rPr>
        <w:t xml:space="preserve"> </w:t>
      </w:r>
      <w:r w:rsidRPr="003355B8">
        <w:rPr>
          <w:rFonts w:ascii="Times New Roman" w:hAnsi="Times New Roman" w:cs="Times New Roman"/>
          <w:color w:val="auto"/>
          <w:sz w:val="20"/>
          <w:szCs w:val="24"/>
          <w:lang w:val="en-GB" w:eastAsia="de-DE"/>
        </w:rPr>
        <w:t xml:space="preserve">Now, if resilience is also a desirable property of the same system, does it also come at the expense of </w:t>
      </w:r>
      <w:r w:rsidR="00EB347A" w:rsidRPr="003355B8">
        <w:rPr>
          <w:rFonts w:ascii="Times New Roman" w:hAnsi="Times New Roman" w:cs="Times New Roman"/>
          <w:color w:val="auto"/>
          <w:sz w:val="20"/>
          <w:szCs w:val="24"/>
          <w:lang w:val="en-GB" w:eastAsia="de-DE"/>
        </w:rPr>
        <w:t xml:space="preserve">performance </w:t>
      </w:r>
      <w:r w:rsidRPr="003355B8">
        <w:rPr>
          <w:rFonts w:ascii="Times New Roman" w:hAnsi="Times New Roman" w:cs="Times New Roman"/>
          <w:color w:val="auto"/>
          <w:sz w:val="20"/>
          <w:szCs w:val="24"/>
          <w:lang w:val="en-GB" w:eastAsia="de-DE"/>
        </w:rPr>
        <w:t>and robustness? Put it another way, is there a trade</w:t>
      </w:r>
      <w:r w:rsidR="00156B92"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xml:space="preserve">off among </w:t>
      </w:r>
      <w:r w:rsidR="00A619D8" w:rsidRPr="003355B8">
        <w:rPr>
          <w:rFonts w:ascii="Times New Roman" w:hAnsi="Times New Roman" w:cs="Times New Roman"/>
          <w:color w:val="auto"/>
          <w:sz w:val="20"/>
          <w:szCs w:val="24"/>
          <w:lang w:val="en-GB" w:eastAsia="de-DE"/>
        </w:rPr>
        <w:t>performance</w:t>
      </w:r>
      <w:r w:rsidRPr="003355B8">
        <w:rPr>
          <w:rFonts w:ascii="Times New Roman" w:hAnsi="Times New Roman" w:cs="Times New Roman"/>
          <w:color w:val="auto"/>
          <w:sz w:val="20"/>
          <w:szCs w:val="24"/>
          <w:lang w:val="en-GB" w:eastAsia="de-DE"/>
        </w:rPr>
        <w:t>, robustness, and resilience? Such a trade</w:t>
      </w:r>
      <w:r w:rsidR="00156B92"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xml:space="preserve">off, if exists, is a crucial consideration for governing and/or </w:t>
      </w:r>
      <w:r w:rsidRPr="003355B8">
        <w:rPr>
          <w:rFonts w:ascii="Times New Roman" w:hAnsi="Times New Roman" w:cs="Times New Roman"/>
          <w:color w:val="auto"/>
          <w:sz w:val="20"/>
          <w:szCs w:val="20"/>
          <w:lang w:val="en-GB" w:eastAsia="de-DE"/>
        </w:rPr>
        <w:t xml:space="preserve">managing </w:t>
      </w:r>
      <w:r w:rsidR="002952CF" w:rsidRPr="003355B8">
        <w:rPr>
          <w:rFonts w:ascii="Times New Roman" w:hAnsi="Times New Roman" w:cs="Times New Roman"/>
          <w:color w:val="auto"/>
          <w:sz w:val="20"/>
          <w:szCs w:val="20"/>
          <w:lang w:val="en-GB" w:eastAsia="de-DE"/>
        </w:rPr>
        <w:t>social-ecological systems</w:t>
      </w:r>
      <w:r w:rsidR="004D4E7C" w:rsidRPr="003355B8">
        <w:rPr>
          <w:rFonts w:ascii="Times New Roman" w:hAnsi="Times New Roman" w:cs="Times New Roman"/>
          <w:color w:val="auto"/>
          <w:sz w:val="20"/>
          <w:szCs w:val="20"/>
          <w:lang w:val="en-GB" w:eastAsia="de-DE"/>
        </w:rPr>
        <w:t xml:space="preserve"> (SESs)</w:t>
      </w:r>
      <w:r w:rsidR="00627894" w:rsidRPr="003355B8">
        <w:rPr>
          <w:rFonts w:ascii="Times New Roman" w:hAnsi="Times New Roman" w:cs="Times New Roman"/>
          <w:color w:val="auto"/>
          <w:sz w:val="20"/>
          <w:szCs w:val="20"/>
          <w:lang w:val="en-GB" w:eastAsia="de-DE"/>
        </w:rPr>
        <w:t>.</w:t>
      </w:r>
    </w:p>
    <w:p w14:paraId="4C24BAA2" w14:textId="5CEC5F39" w:rsidR="00DF0587" w:rsidRPr="003355B8" w:rsidRDefault="004A25E8" w:rsidP="00880DD8">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But resilience, as alluded to above, is trickier to define</w:t>
      </w:r>
      <w:r w:rsidR="008C7ADA"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xml:space="preserve"> According to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"10.1146/annurev.es.04.110173.000245", "ISSN" : "0066-4162", "author" : [ { "dropping-particle" : "", "family" : "Holling", "given" : "C S", "non-dropping-particle" : "", "parse-names" : false, "suffix" : "" } ], "container-title" : "Annual Review of Ecology and Systematics", "id" : "ITEM-1", "issue" : "1", "issued" : { "date-parts" : [ [ "1973", "11" ] ] }, "page" : "1-23", "title" : "Resilience and Stability of Ecological Systems", "type" : "article-journal", "volume" : "4" }, "uris" : [ "http://www.mendeley.com/documents/?uuid=caa11b1c-0764-3388-9e6a-9e1b707929f2" ] } ], "mendeley" : { "formattedCitation" : "(C S Holling)", "manualFormatting" : "Holling (1973)", "plainTextFormattedCitation" : "(C S Holling)", "previouslyFormattedCitation" : "(C S Holling)"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Holling (1973)</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resilience refers to the amount of change or disruption</w:t>
      </w:r>
      <w:r w:rsidR="0082730D" w:rsidRPr="003355B8">
        <w:rPr>
          <w:rFonts w:ascii="Times New Roman" w:hAnsi="Times New Roman" w:cs="Times New Roman"/>
          <w:color w:val="auto"/>
          <w:sz w:val="20"/>
          <w:szCs w:val="24"/>
          <w:lang w:val="en-GB" w:eastAsia="de-DE"/>
        </w:rPr>
        <w:t xml:space="preserve"> required</w:t>
      </w:r>
      <w:r w:rsidRPr="003355B8">
        <w:rPr>
          <w:rFonts w:ascii="Times New Roman" w:hAnsi="Times New Roman" w:cs="Times New Roman"/>
          <w:color w:val="auto"/>
          <w:sz w:val="20"/>
          <w:szCs w:val="24"/>
          <w:lang w:val="en-GB" w:eastAsia="de-DE"/>
        </w:rPr>
        <w:t xml:space="preserve"> to shift the maintenance of a system along different sets of mutually reinforcing processes and structures. In other words, resilience can be thought of as how far the system is from certain thresholds or boundaries beyond which the system will undergo a regime shift or a quantitative change in system structure</w:t>
      </w:r>
      <w:r w:rsidR="0082730D" w:rsidRPr="003355B8">
        <w:rPr>
          <w:rFonts w:ascii="Times New Roman" w:hAnsi="Times New Roman" w:cs="Times New Roman"/>
          <w:color w:val="auto"/>
          <w:sz w:val="20"/>
          <w:szCs w:val="24"/>
          <w:lang w:val="en-GB" w:eastAsia="de-DE"/>
        </w:rPr>
        <w:t xml:space="preserve"> or identity</w:t>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"10.17226/4919", "ISBN" : "0309051983", "ISSN" : "1098-6596", "PMID" : "1617759", "abstract" : "Engineering within Ecological Constraints presents a rare dialogue between engineers and environmental scientists as they consider the many technical as well as social and legal challenges of ecologically sensitive engineering. The volume looks at the concepts of scale, resilience, and chaos as they apply to the points where the ecological life support system of nature interacts with the technological life support system created by humankind. Among the questions addressed are: What are the implications of differences between ecological and engineering concepts of efficiency and stability? How can engineering solutions to immediate problems be made compatible with long-term ecological concerns? How can we transfer ecological principles to economic systems? The book also includes important case studies on such topics as water management in southern Florida and California and oil exploration in rain forests. From its conceptual discussions to the practical experience reflected in case studies, this volume will be important to policymakers, practitioners, researchers, educators, and students in the fields of engineering, environmental science, and environmental policy.", "author" : [ { "dropping-particle" : "", "family" : "Holling", "given" : "Crawford Stanley", "non-dropping-particle" : "", "parse-names" : false, "suffix" : "" } ], "container-title" : "Engineering Within Ecological Constraints", "id" : "ITEM-1", "issue" : "1996", "issued" : { "date-parts" : [ [ "1996" ] ] }, "page" : "31-44", "title" : "Engineering Resilience versus Ecological Resilience", "type" : "article-journal" }, "uris" : [ "http://www.mendeley.com/documents/?uuid=7a1acb78-6686-4019-bb5f-08a1b5ab170a" ] } ], "mendeley" : { "formattedCitation" : "(Crawford Stanley Holling)", "manualFormatting" : "Holling (1996)", "plainTextFormattedCitation" : "(Crawford Stanley Holling)", "previouslyFormattedCitation" : "(Crawford Stanley Holling)"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Holling (1996)</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categorized resilience into two types, engineering resilience, which refers to the ability of a system to return to steady state following a perturbation, and ecological resilience, which refers to the capacity of system to remain in </w:t>
      </w:r>
      <w:r w:rsidR="000A4940" w:rsidRPr="003355B8">
        <w:rPr>
          <w:rFonts w:ascii="Times New Roman" w:hAnsi="Times New Roman" w:cs="Times New Roman"/>
          <w:color w:val="auto"/>
          <w:sz w:val="20"/>
          <w:szCs w:val="24"/>
          <w:lang w:val="en-GB" w:eastAsia="de-DE"/>
        </w:rPr>
        <w:t xml:space="preserve">a </w:t>
      </w:r>
      <w:proofErr w:type="gramStart"/>
      <w:r w:rsidRPr="003355B8">
        <w:rPr>
          <w:rFonts w:ascii="Times New Roman" w:hAnsi="Times New Roman" w:cs="Times New Roman"/>
          <w:color w:val="auto"/>
          <w:sz w:val="20"/>
          <w:szCs w:val="24"/>
          <w:lang w:val="en-GB" w:eastAsia="de-DE"/>
        </w:rPr>
        <w:t>particular stability</w:t>
      </w:r>
      <w:proofErr w:type="gramEnd"/>
      <w:r w:rsidRPr="003355B8">
        <w:rPr>
          <w:rFonts w:ascii="Times New Roman" w:hAnsi="Times New Roman" w:cs="Times New Roman"/>
          <w:color w:val="auto"/>
          <w:sz w:val="20"/>
          <w:szCs w:val="24"/>
          <w:lang w:val="en-GB" w:eastAsia="de-DE"/>
        </w:rPr>
        <w:t xml:space="preserve"> domain in the face of perturbations. The latter category is used by many researchers to discuss resilience of </w:t>
      </w:r>
      <w:r w:rsidR="00627894" w:rsidRPr="003355B8">
        <w:rPr>
          <w:rFonts w:ascii="Times New Roman" w:hAnsi="Times New Roman" w:cs="Times New Roman"/>
          <w:color w:val="auto"/>
          <w:sz w:val="20"/>
          <w:szCs w:val="24"/>
          <w:lang w:val="en-GB" w:eastAsia="de-DE"/>
        </w:rPr>
        <w:t>SESs</w:t>
      </w:r>
      <w:r w:rsidR="004D4E7C" w:rsidRPr="003355B8">
        <w:rPr>
          <w:rFonts w:ascii="Times New Roman" w:hAnsi="Times New Roman" w:cs="Times New Roman"/>
          <w:color w:val="auto"/>
          <w:sz w:val="20"/>
          <w:szCs w:val="24"/>
          <w:lang w:val="en-GB" w:eastAsia="de-DE"/>
        </w:rPr>
        <w:t xml:space="preserve">, </w:t>
      </w:r>
      <w:r w:rsidR="00A07EBC" w:rsidRPr="003355B8">
        <w:rPr>
          <w:rFonts w:ascii="Times New Roman" w:hAnsi="Times New Roman" w:cs="Times New Roman"/>
          <w:color w:val="auto"/>
          <w:sz w:val="20"/>
          <w:szCs w:val="24"/>
          <w:lang w:val="en-GB" w:eastAsia="de-DE"/>
        </w:rPr>
        <w:t>or more generally</w:t>
      </w:r>
      <w:r w:rsidR="000A4940" w:rsidRPr="003355B8">
        <w:rPr>
          <w:rFonts w:ascii="Times New Roman" w:hAnsi="Times New Roman" w:cs="Times New Roman"/>
          <w:color w:val="auto"/>
          <w:sz w:val="20"/>
          <w:szCs w:val="24"/>
          <w:lang w:val="en-GB" w:eastAsia="de-DE"/>
        </w:rPr>
        <w:t>,</w:t>
      </w:r>
      <w:r w:rsidR="00A07EBC" w:rsidRPr="003355B8">
        <w:rPr>
          <w:rFonts w:ascii="Times New Roman" w:hAnsi="Times New Roman" w:cs="Times New Roman"/>
          <w:color w:val="auto"/>
          <w:sz w:val="20"/>
          <w:szCs w:val="24"/>
          <w:lang w:val="en-GB" w:eastAsia="de-DE"/>
        </w:rPr>
        <w:t xml:space="preserve"> </w:t>
      </w:r>
      <w:r w:rsidR="004D4E7C" w:rsidRPr="003355B8">
        <w:rPr>
          <w:rFonts w:ascii="Times New Roman" w:hAnsi="Times New Roman" w:cs="Times New Roman"/>
          <w:i/>
          <w:iCs/>
          <w:color w:val="auto"/>
          <w:sz w:val="20"/>
          <w:szCs w:val="24"/>
          <w:lang w:val="en-GB" w:eastAsia="de-DE"/>
        </w:rPr>
        <w:t>coupled infrastructure systems</w:t>
      </w:r>
      <w:r w:rsidR="004D4E7C" w:rsidRPr="003355B8">
        <w:rPr>
          <w:rFonts w:ascii="Times New Roman" w:hAnsi="Times New Roman" w:cs="Times New Roman"/>
          <w:color w:val="auto"/>
          <w:sz w:val="20"/>
          <w:szCs w:val="24"/>
          <w:lang w:val="en-GB" w:eastAsia="de-DE"/>
        </w:rPr>
        <w:t xml:space="preserve"> (</w:t>
      </w:r>
      <w:r w:rsidR="00A07EBC" w:rsidRPr="003355B8">
        <w:rPr>
          <w:rFonts w:ascii="Times New Roman" w:hAnsi="Times New Roman" w:cs="Times New Roman"/>
          <w:color w:val="auto"/>
          <w:sz w:val="20"/>
          <w:szCs w:val="24"/>
          <w:lang w:val="en-GB" w:eastAsia="de-DE"/>
        </w:rPr>
        <w:t>CISs</w:t>
      </w:r>
      <w:r w:rsidR="004D4E7C"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xml:space="preserve"> </w:t>
      </w:r>
      <w:bookmarkStart w:id="0" w:name="_Hlk510701050"/>
      <w:r w:rsidR="00061AAE" w:rsidRPr="003355B8">
        <w:rPr>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"author" : [ { "dropping-particle" : "", "family" : "Carpenter", "given" : "S", "non-dropping-particle" : "", "parse-names" : false, "suffix" : "" }, { "dropping-particle" : "", "family" : "Walker", "given" : "B", "non-dropping-particle" : "", "parse-names" : false, "suffix" : "" }, { "dropping-particle" : "", "family" : "Anderies", "given" : "JM", "non-dropping-particle" : "", "parse-names" : false, "suffix" : "" }, { "dropping-particle" : "", "family" : "Abel", "given" : "N", "non-dropping-particle" : "", "parse-names" : false, "suffix" : "" } ], "container-title" : "Ecosystems", "id" : "ITEM-1", "issued" : { "date-parts" : [ [ "2001" ] ] }, "title" : "From metaphor to measurement: resilience of what to what?", "type" : "article-journal" }, "uris" : [ "http://www.mendeley.com/documents/?uuid=15369b3c-6960-3bfc-b386-2de1c9993de2" ] }, { "id" : "ITEM-2", "itemData" : { "DOI" : "10.1639/0044-7447(2002)031[0437:RASDBA]2.0.CO;2", "ISBN" : "0044-7447", "ISSN" : "0044-7447", "PMID" : "12374053", "abstract" : "Emerging recognition of two fundamental errors underpinning past polices for natural resource issues heralds awareness of the need for a worldwide fundamental change in thinking and in practice of environmental management. The first error has been an implicit assumption that ecosystem responses to human use are linear, predictable and controllable. The second has been an assumption that human and natural systems can be treated independently. However, evidence that has been accumulating in diverse regions all over the world suggests that natural and social systems behave in nonlinear ways, exhibit marked thresholds in their dynamics, and that social-ecological systems act as strongly coupled, complex and evolving integrated systems. This article is a summary of a report prepared on behalf of the Environmental Advisory Council to the Swedish Government, as input to the process of the World Summit on Sustainable Development (WSSD) in Johannesburg, South Africa in 26 August 4 September 2002. We use the concept of resilience\u2014 the capacity to buffer change, learn and develop\u2014 as a framework for understanding how to sustain and enhance adaptive capacity in a complex world of rapid transformations. Two useful tools for resilience-building in social-ecological systems are structured scenarios and active adaptive management. These tools require and facilitate a social context with flexible and open institutions and multi-level governance systems that allow for learning and increase adaptive capacity without foreclosing future development options.", "author" : [ { "dropping-particle" : "", "family" : "Folke", "given" : "Carl", "non-dropping-particle" : "", "parse-names" : false, "suffix" : "" }, { "dropping-particle" : "", "family" : "Carpenter", "given" : "Steve", "non-dropping-particle" : "", "parse-names" : false, "suffix" : "" }, { "dropping-particle" : "", "family" : "Elmqvist", "given" : "Thomas", "non-dropping-particle" : "", "parse-names" : false, "suffix" : "" }, { "dropping-particle" : "", "family" : "Gunderson", "given" : "Lance", "non-dropping-particle" : "", "parse-names" : false, "suffix" : "" }, { "dropping-particle" : "", "family" : "Holling", "given" : "CS", "non-dropping-particle" : "", "parse-names" : false, "suffix" : "" }, { "dropping-particle" : "", "family" : "Walker", "given" : "Brian", "non-dropping-particle" : "", "parse-names" : false, "suffix" : "" } ], "container-title" : "AMBIO: A Journal of the Human Environment", "id" : "ITEM-2", "issue" : "5", "issued" : { "date-parts" : [ [ "2002" ] ] }, "page" : "437", "title" : "Resilience and Sustainable Development: Building Adaptive Capacity in a World of Transformations", "type" : "article-journal", "volume" : "31" }, "uris" : [ "http://www.mendeley.com/documents/?uuid=3937e044-6048-4f2d-acf2-0c952aa3a96b" ] }, { "id" : "ITEM-3", "itemData" : { "DOI" : "10.1007/s10021-006-0017-1", "ISSN" : "1432-9840", "author" : [ { "dropping-particle" : "", "family" : "Anderies", "given" : "John M.", "non-dropping-particle" : "", "parse-names" : false, "suffix" : "" }, { "dropping-particle" : "", "family" : "Ryan", "given" : "Paul", "non-dropping-particle" : "", "parse-names" : false, "suffix" : "" }, { "dropping-particle" : "", "family" : "Walker", "given" : "Brian H.", "non-dropping-particle" : "", "parse-names" : false, "suffix" : "" } ], "container-title" : "Ecosystems", "id" : "ITEM-3", "issue" : "6", "issued" : { "date-parts" : [ [ "2006", "9", "30" ] ] }, "page" : "865-878", "publisher" : "Springer-Verlag", "title" : "Loss of Resilience, Crisis, and Institutional Change: Lessons from an Intensive Agricultural System in Southeastern Australia", "type" : "article-journal", "volume" : "9" }, "uris" : [ "http://www.mendeley.com/documents/?uuid=db196fa7-196f-3014-8b91-59ba2d63c79d" ] }, { "id" : "ITEM-4", "itemData" : { "DOI" : "10.1016/j.gloenvcha.2006.04.002", "ISSN" : "09593780", "author" : [ { "dropping-particle" : "", "family" : "Folke", "given" : "Carl", "non-dropping-particle" : "", "parse-names" : false, "suffix" : "" } ], "container-title" : "Global Environmental Change", "id" : "ITEM-4", "issue" : "3", "issued" : { "date-parts" : [ [ "2006", "8" ] ] }, "page" : "253-267", "title" : "Resilience: The emergence of a perspective for social\u2013ecological systems analyses", "type" : "article-journal", "volume" : "16" }, "uris" : [ "http://www.mendeley.com/documents/?uuid=eafa2deb-6d7f-3a5d-a86a-bf89ad87aca7" ] }, { "id" : "ITEM-5", "itemData" : { "DOI" : "10.5751/ES-03610-150420", "ISBN" : "1708-3087", "ISSN" : "17083087", "PMID" : "22056728", "abstract" : "Resilience thinking addresses the dynamics and development of complex social\u2013ecological systems (SES). Three aspects are central: resilience, adaptability and transformability. These aspects interrelate across multiple scales. Resilience in this context is the capacity of a SES to continually change and adapt yet remain within critical thresholds. Adaptability is part of resilience. It represents the capacity to adjust responses to changing external drivers and internal processes and thereby allow for development along the current trajectory (stability domain). Transformability is the capacity to cross thresholds into new development trajectories. Transformational change at smaller scales enables resilience at larger scales. The capacity to transform at smaller scales draws on resilience from multiple scales, making use of crises as windows of opportunity for novelty and innovation, and recombining sources of experience and knowledge to navigate social\u2013ecological transitions. Society must seriously consider ways to foster resilience of smaller more manageable SESs that contribute to Earth System resilience and to explore options for deliberate transformation of SESs that threaten Earth System resilience.", "author" : [ { "dropping-particle" : "", "family" : "Folke", "given" : "Carl", "non-dropping-particle" : "", "parse-names" : false, "suffix" : "" }, { "dropping-particle" : "", "family" : "Carpenter", "given" : "Stephen R.", "non-dropping-particle" : "", "parse-names" : false, "suffix" : "" }, { "dropping-particle" : "", "family" : "Walker", "given" : "Brian", "non-dropping-particle" : "", "parse-names" : false, "suffix" : "" }, { "dropping-particle" : "", "family" : "Scheffer", "given" : "Marten", "non-dropping-particle" : "", "parse-names" : false, "suffix" : "" }, { "dropping-particle" : "", "family" : "Chapin", "given" : "Terry", "non-dropping-particle" : "", "parse-names" : false, "suffix" : "" }, { "dropping-particle" : "", "family" : "Rockstr\u00f6m", "given" : "Johan", "non-dropping-particle" : "", "parse-names" : false, "suffix" : "" } ], "container-title" : "Ecology and Society", "id" : "ITEM-5", "issue" : "4", "issued" : { "date-parts" : [ [ "2010" ] ] }, "title" : "Resilience thinking: Integrating resilience, adaptability and transformability", "type" : "article-journal", "volume" : "15" }, "uris" : [ "http://www.mendeley.com/documents/?uuid=904f722f-9669-442a-9159-df63f3b6eabe" ] }, { "id" : "ITEM-6", "itemData" : { "DOI" : "10.1146/annurev-environ-051211-123836", "ISSN" : "1543-5938", "author" : [ { "dropping-particle" : "", "family" : "Biggs", "given" : "Reinette", "non-dropping-particle" : "", "parse-names" : false, "suffix" : "" }, { "dropping-particle" : "", "family" : "Schl\u00fcter", "given" : "Maja", "non-dropping-particle" : "", "parse-names" : false, "suffix" : "" }, { "dropping-particle" : "", "family" : "Biggs", "given" : "Duan", "non-dropping-particle" : "", "parse-names" : false, "suffix" : "" }, { "dropping-particle" : "", "family" : "Bohensky", "given" : "Erin L.", "non-dropping-particle" : "", "parse-names" : false, "suffix" : "" }, { "dropping-particle" : "", "family" : "BurnSilver", "given" : "Shauna", "non-dropping-particle" : "", "parse-names" : false, "suffix" : "" }, { "dropping-particle" : "", "family" : "Cundill", "given" : "Georgina", "non-dropping-particle" : "", "parse-names" : false, "suffix" : "" }, { "dropping-particle" : "", "family" : "Dakos", "given" : "Vasilis", "non-dropping-particle" : "", "parse-names" : false, "suffix" : "" }, { "dropping-particle" : "", "family" : "Daw", "given" : "Tim M.", "non-dropping-particle" : "", "parse-names" : false, "suffix" : "" }, { "dropping-particle" : "", "family" : "Evans", "given" : "Louisa S.", "non-dropping-particle" : "", "parse-names" : false, "suffix" : "" }, { "dropping-particle" : "", "family" : "Kotschy", "given" : "Karen", "non-dropping-particle" : "", "parse-names" : false, "suffix" : "" }, { "dropping-particle" : "", "family" : "Leitch", "given" : "Anne M.", "non-dropping-particle" : "", "parse-names" : false, "suffix" : "" }, { "dropping-particle" : "", "family" : "Meek", "given" : "Chanda", "non-dropping-particle" : "", "parse-names" : false, "suffix" : "" }, { "dropping-particle" : "", "family" : "Quinlan", "given" : "Allyson", "non-dropping-particle" : "", "parse-names" : false, "suffix" : "" }, { "dropping-particle" : "", "family" : "Raudsepp-Hearne", "given" : "Ciara", "non-dropping-particle" : "", "parse-names" : false, "suffix" : "" }, { "dropping-particle" : "", "family" : "Robards", "given" : "Martin D.", "non-dropping-particle" : "", "parse-names" : false, "suffix" : "" }, { "dropping-particle" : "", "family" : "Schoon", "given" : "Michael L.", "non-dropping-particle" : "", "parse-names" : false, "suffix" : "" }, { "dropping-particle" : "", "family" : "Schultz", "given" : "Lisen", "non-dropping-particle" : "", "parse-names" : false, "suffix" : "" }, { "dropping-particle" : "", "family" : "West", "given" : "Paul C.", "non-dropping-particle" : "", "parse-names" : false, "suffix" : "" } ], "container-title" : "Annual Review of Environment and Resources", "id" : "ITEM-6", "issue" : "1", "issued" : { "date-parts" : [ [ "2012", "11", "21" ] ] }, "page" : "421-448", "title" : "Toward Principles for Enhancing the Resilience of Ecosystem Services", "type" : "article-journal", "volume" : "37" }, "uris" : [ "http://www.mendeley.com/documents/?uuid=af34911c-e5d3-3a82-ac58-d49caf3c0e0a" ] }, { "id" : "ITEM-7", "itemData" : { "DOI" : "10.1073/pnas.1320880111", "ISBN" : "0027-8424", "ISSN" : "0027-8424", "PMID" : "25246580", "abstract" : "We advance a theory of resilience as it applies to the challenges of international development. The conceptualization we advance for development resilience focuses on the stochastic dynamics of individual and collective human well-being, especially on the avoidance of and escape from chronic poverty over time in the face of myriad stressors and shocks. Development resilience clearly nests within it the related but distinct idea of humanitarian resilience and thereby offers a conceptual apparatus to integrate the humanitarian and development ambitions. We discuss the implications for programming, systems integration, and measurement.", "author" : [ { "dropping-particle" : "", "family" : "Barrett", "given" : "Christopher B.", "non-dropping-particle" : "", "parse-names" : false, "suffix" : "" }, { "dropping-particle" : "", "family" : "Constas", "given" : "Mark A.", "non-dropping-particle" : "", "parse-names" : false, "suffix" : "" } ], "container-title" : "Proceedings of the National Academy of Sciences", "id" : "ITEM-7", "issue" : "40", "issued" : { "date-parts" : [ [ "2014" ] ] }, "page" : "14625-14630", "title" : "Toward a theory of resilience for international development applications", "type" : "article-journal", "volume" : "111" }, "uris" : [ "http://www.mendeley.com/documents/?uuid=d01e7da7-69b0-4ec1-bbb9-4c8a5963a3a8" ] }, { "id" : "ITEM-8", "itemData" : { "DOI" : "10.5751/ES-06390-190237", "ISSN" : "1708-3087", "author" : [ { "dropping-particle" : "", "family" : "Redman", "given" : "Charles L.", "non-dropping-particle" : "", "parse-names" : false, "suffix" : "" } ], "container-title" : "Ecology and Society", "id" : "ITEM-8", "issue" : "2", "issued" : { "date-parts" : [ [ "2014" ] ] }, "page" : "art37", "title" : "Should Sustainability and Resilience Be Combined or Remain Distinct Pursuits?", "type" : "article-journal", "volume" : "19" }, "uris" : [ "http://www.mendeley.com/documents/?uuid=c2a1daeb-96fa-377a-8210-dd519b52f2ba" ] }, { "id" : "ITEM-9", "itemData" : { "abstract" : "Building resilience into today\u2019s complex infrastructures is critical to the daily functioning of society and its ability to withstand and recover from natural disasters, epidemics, and cyber-threats. This study proposes quantitative measures that capture and implement the definition of engineering resilience advanced by the National Academy of Sciences. The approach is applicable across physical, information, and social domains. It evaluates the critical functionality, defined as a performance function of time set by the stakeholders. Critical functionality is a source of valuable information, such as the integrated system resilience over a time interval, and its robustness. The paper demonstrates the formulation on two classes of models: 1) multi-level directed acyclic graphs, and 2) interdependent coupled networks. For both models synthetic case studies are used to explore trends. For the first class, the approach is also applied to the Linux operating system. Results indicate that desired resilience and robustness levels are achievable by trading off different design parameters, such as redundancy, node recovery time, and backup supply available. The nonlinear relationship between network parameters and resilience levels confirms the utility of the proposed approach, which is of benefit to analysts and designers of complex systems and networks.", "author" : [ { "dropping-particle" : "", "family" : "Alexander A. Ganin1, 2, Emanuele Massaro1, 3,\u2020, Alexander Gutfraind4", "given" : "Nicolas Steen1", "non-dropping-particle" : "", "parse-names" : false, "suffix" : "" }, { "dropping-particle" : "", "family" : "Jeffrey M. Keisler5, Alexander Kott6", "given" : "Rami Mangoubi7 &amp; Igor Linkov1", "non-dropping-particle" : "", "parse-names" : false, "suffix" : "" } ], "container-title" : "Scientific Reports", "id" : "ITEM-9", "issued" : { "date-parts" : [ [ "2015" ] ] }, "title" : "Operational resilience: concepts, design and analysis", "type" : "article-journal" }, "uris" : [ "http://www.mendeley.com/documents/?uuid=7f4ec3f3-9364-4f58-a0a9-54a695b28793" ] }, { "id" : "ITEM-10", "itemData" : { "DOI" : "10.1038/srep16196", "ISSN" : "20452322", "PMID" : "26537459", "abstract" : "The abundance of multistable dynamical systems calls for an appropriate quantification of the respective stability of the (stable) states of such systems. Motivated by the concept of ecological resilience, we propose a novel and pragmatic measure called 'integral stability' which integrates different aspects commonly addressed separately by existing local and global stability concepts. We demonstrate the potential of integral stability by using exemplary multistable dynamical systems such as the damped driven pendulum, a model of Amazonian rainforest as a known climate tipping element and the Daisyworld model. A crucial feature of integral stability lies in its potential of arresting a gradual loss of the stability of a system when approaching a tipping point, thus providing a potential early-warning signal sufficiently prior to a qualitative change of the system's dynamics.", "author" : [ { "dropping-particle" : "", "family" : "Mitra", "given" : "Chiranjit", "non-dropping-particle" : "", "parse-names" : false, "suffix" : "" }, { "dropping-particle" : "", "family" : "Kurths", "given" : "J\u00fcrgen", "non-dropping-particle" : "", "parse-names" : false, "suffix" : "" }, { "dropping-particle" : "V.", "family" : "Donner", "given" : "Reik", "non-dropping-particle" : "", "parse-names" : false, "suffix" : "" } ], "container-title" : "Scientific Reports", "id" : "ITEM-10", "issued" : { "date-parts" : [ [ "2015" ] ] }, "page" : "1-10", "publisher" : "Nature Publishing Group", "title" : "An integrative quantifier of multistability in complex systems based on ecological resilience", "type" : "article-journal", "volume" : "5" }, "uris" : [ "http://www.mendeley.com/documents/?uuid=64384acd-2255-4362-b3eb-1f4cdf71c8b8" ] }, { "id" : "ITEM-11", "itemData" : { "DOI" : "10.1016/j.tree.2017.06.014", "ISBN" : "0169-5347", "ISSN" : "01695347", "PMID" : "28734593", "abstract" : "Ecosystems influence human societies, leading people to manage ecosystems for human benefit. Poor environmental management can lead to reduced ecological resilience and social\u2013ecological collapse. We review research on resilience and collapse across different systems and propose a unifying social\u2013ecological framework based on (i) a clear definition of system identity; (ii) the use of quantitative thresholds to define collapse; (iii) relating collapse processes to system structure; and (iv) explicit comparison of alternative hypotheses and models of collapse. Analysis of 17 representative cases identified 14 mechanisms, in five classes, that explain social\u2013ecological collapse. System structure influences the kind of collapse a system may experience. Mechanistic theories of collapse that unite structure and process can make fundamental contributions to solving global environmental problems. As social\u2013ecological systems enter a period of rapid global change, science must predict and explain \u2018unthinkable\u2019 social, ecological, and social\u2013ecological collapses. Existing theories of collapse are weakly integrated with resilience theory and ideas about vulnerability and sustainability. Mechanisms of collapse are poorly understood and often heavily contested. Progress in understanding collapse requires greater clarity on system identity and alternative causes of collapse. Archaeological theories have focused on a limited range of reasons for system collapse. In resilience theory, the adaptive cycle has been used to describe collapse but offers little insight into the mechanisms that cause it. Theories of collapse should connect structure and process. Mechanistic, structure\u2013process\u2013function theories of collapse suggest new avenues for understanding and improving resilience.", "author" : [ { "dropping-particle" : "", "family" : "Cumming", "given" : "Graeme S.", "non-dropping-particle" : "", "parse-names" : false, "suffix" : "" }, { "dropping-particle" : "", "family" : "Peterson", "given" : "Garry D.", "non-dropping-particle" : "", "parse-names" : false, "suffix" : "" } ], "container-title" : "Trends in Ecology and Evolution", "id" : "ITEM-11", "issue" : "9", "issued" : { "date-parts" : [ [ "2017" ] ] }, "page" : "695-713", "publisher" : "Elsevier Ltd", "title" : "Unifying Research on Social\u2013Ecological Resilience and Collapse", "type" : "article-journal", "volume" : "32" }, "uris" : [ "http://www.mendeley.com/documents/?uuid=a76709f8-f704-4db4-b0c1-c143ee9ed0ba" ] } ], "mendeley" : { "formattedCitation" : "(S. Carpenter et al.; Folke, S. Carpenter, et al.; John M. Anderies, Ryan, et al., \u201cLoss of Resilience, Crisis, and Institutional Change: Lessons from an Intensive Agricultural System in Southeastern Australia\u201d; Folke; Folke, S. R. Carpenter, et al.; Biggs et al.; Barrett and Constas; Redman; Alexander A. Ganin1, 2, Emanuele Massaro1, 3,\u2020, Alexander Gutfraind4 and Jeffrey M. Keisler5, Alexander Kott6; Mitra et al.; Cumming and Peterson)", "manualFormatting" : "(Carpenter et al., 2001; Folke, S et al., 2002; Anderies et al., 2006; Folke, 2006; Folke et al., 2010; Biggs et al., 2012; Barrett and Constas, 2014; Redman, 2014", "plainTextFormattedCitation" : "(S. Carpenter et al.; Folke, S. Carpenter, et al.; John M. Anderies, Ryan, et al., \u201cLoss of Resilience, Crisis, and Institutional Change: Lessons from an Intensive Agricultural System in Southeastern Australia\u201d; Folke; Folke, S. R. Carpenter, et al.; Biggs et al.; Barrett and Constas; Redman; Alexander A. Ganin1, 2, Emanuele Massaro1, 3,\u2020, Alexander Gutfraind4 and Jeffrey M. Keisler5, Alexander Kott6; Mitra et al.; Cumming and Peterson)", "previouslyFormattedCitation" : "(S. Carpenter et al.; Folke, S. Carpenter, et al.; John M. Anderies, Ryan, et al., \u201cLoss of Resilience, Crisis, and Institutional Change: Lessons from an Intensive Agricultural System in Southeastern Australia\u201d; Folke; Folke, S. R. Carpenter, et al.; Biggs et al.; Barrett and Constas; Redman; Alexander A. Ganin1, 2, Emanuele Massaro1, 3,\u2020, Alexander Gutfraind4 and Jeffrey M. Keisler5, Alexander Kott6; Mitra et al.; Cumming and Peterson)" }, "properties" : { "noteIndex" : 0 }, "schema" : "https://github.com/citation-style-language/schema/raw/master/csl-citation.json" }</w:instrText>
      </w:r>
      <w:r w:rsidR="00061AAE" w:rsidRPr="003355B8">
        <w:rPr>
          <w:rFonts w:ascii="Times New Roman" w:hAnsi="Times New Roman" w:cs="Times New Roman"/>
          <w:color w:val="auto"/>
          <w:sz w:val="20"/>
          <w:szCs w:val="24"/>
          <w:lang w:val="en-GB" w:eastAsia="de-DE"/>
        </w:rPr>
        <w:fldChar w:fldCharType="separate"/>
      </w:r>
      <w:r w:rsidR="00061AAE" w:rsidRPr="003355B8">
        <w:rPr>
          <w:rFonts w:ascii="Times New Roman" w:hAnsi="Times New Roman" w:cs="Times New Roman"/>
          <w:noProof/>
          <w:color w:val="auto"/>
          <w:sz w:val="20"/>
          <w:szCs w:val="24"/>
          <w:lang w:val="en-GB" w:eastAsia="de-DE"/>
        </w:rPr>
        <w:t>(Carpenter et al., 2001; Folke, S et al., 2002; Anderies et al., 2006; Folke, 2006; Folke et al., 2010; Biggs et al., 2012; Barrett and Constas, 2014; Redman, 2014</w:t>
      </w:r>
      <w:r w:rsidR="00061AAE" w:rsidRPr="003355B8">
        <w:rPr>
          <w:rFonts w:ascii="Times New Roman" w:hAnsi="Times New Roman" w:cs="Times New Roman"/>
          <w:color w:val="auto"/>
          <w:sz w:val="20"/>
          <w:szCs w:val="24"/>
          <w:lang w:val="en-GB" w:eastAsia="de-DE"/>
        </w:rPr>
        <w:fldChar w:fldCharType="end"/>
      </w:r>
      <w:bookmarkEnd w:id="0"/>
      <w:r w:rsidR="00061AAE" w:rsidRPr="003355B8">
        <w:rPr>
          <w:rFonts w:ascii="Times New Roman" w:hAnsi="Times New Roman" w:cs="Times New Roman"/>
          <w:color w:val="auto"/>
          <w:sz w:val="20"/>
          <w:szCs w:val="24"/>
          <w:lang w:val="en-GB" w:eastAsia="de-DE"/>
        </w:rPr>
        <w:t>;</w:t>
      </w:r>
      <w:r w:rsidR="00061AAE" w:rsidRPr="003355B8">
        <w:rPr>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"14", "ISBN" : "1195-5449", "ISSN" : "11955449", "PMID" : "66785264", "abstract" : "Approaches to natural resource management are often based on a presumed ability to predict probabilistic responses to management and external drivers such as climate. They also tend to assume that the manager is outside the system being managed. However, where the objectives include long-term sustainability, linked social-ecological systems (SESs) behave as complex adaptive systems, with the managers as integral components of the system. Moreover, uncertainties are large and it may be difficult to reduce them as fast as the system changes. Sustainability involves maintaining the functionality of a system when it is perturbed, or maintaining the elements needed to renew or reorganize if a large perturbation radically alters structure and function. The ability to do this is termed \"resilience.\" This paper presents an evolving approach to analyzing resilience in SESs, as a basis for managing resilience. We propose a framework with four steps, involving close involvement of SES stakeholders. It begins with a stakeholder-led development of a conceptual model of the system, including its historical profile (how it got to be what it is) and preliminary assessments of the drivers of the supply of key ecosystem goods and services. Step 2 deals with identifying the range of unpredictable and uncontrollable drivers, stakeholder visions for the future, and contrasting possible future policies, weaving these three factors into a limited set of future scenarios. Step 3 uses the outputs from steps 1 and 2 to explore the SES for resilience in an iterative way. It generally includes the development of simple models of the system's dynamics for exploring attributes that affect resilience. Step 4 is a stakeholder evaluation of the process and outcomes in terms of policy and management implications. This approach to resilience analysis is illustrated using two stylized examples.", "author" : [ { "dropping-particle" : "", "family" : "Walker", "given" : "B", "non-dropping-particle" : "", "parse-names" : false, "suffix" : "" }, { "dropping-particle" : "", "family" : "Carpenter", "given" : "S", "non-dropping-particle" : "", "parse-names" : false, "suffix" : "" }, { "dropping-particle" : "", "family" : "Anderies", "given" : "J", "non-dropping-particle" : "", "parse-names" : false, "suffix" : "" }, { "dropping-particle" : "", "family" : "Abel", "given" : "N", "non-dropping-particle" : "", "parse-names" : false, "suffix" : "" }, { "dropping-particle" : "", "family" : "Cumming", "given" : "G", "non-dropping-particle" : "", "parse-names" : false, "suffix" : "" }, { "dropping-particle" : "", "family" : "Janssen", "given" : "M", "non-dropping-particle" : "", "parse-names" : false, "suffix" : "" }, { "dropping-particle" : "", "family" : "Lebel", "given" : "L", "non-dropping-particle" : "", "parse-names" : false, "suffix" : "" }, { "dropping-particle" : "", "family" : "Norberg", "given" : "J", "non-dropping-particle" : "", "parse-names" : false, "suffix" : "" }, { "dropping-particle" : "", "family" : "Peterson", "given" : "G D", "non-dropping-particle" : "", "parse-names" : false, "suffix" : "" }, { "dropping-particle" : "", "family" : "Pritchard", "given" : "R", "non-dropping-particle" : "", "parse-names" : false, "suffix" : "" } ], "container-title" : "Conservation Ecology [online]", "id" : "ITEM-1", "issue" : "1", "issued" : { "date-parts" : [ [ "2002" ] ] }, "page" : "14", "title" : "Resilience management in social-ecological systems: a working\\nhypothesis for a participatory approach", "type" : "article-journal", "volume" : "6" }, "uris" : [ "http://www.mendeley.com/documents/?uuid=e1284beb-df5b-41c6-8a75-95d4391d4d5e" ] } ], "mendeley" : { "formattedCitation" : "(B Walker et al.)", "manualFormatting" : " Walker et al.,2002", "plainTextFormattedCitation" : "(B Walker et al.)", "previouslyFormattedCitation" : "(B Walker et al.)" }, "properties" : { "noteIndex" : 0 }, "schema" : "https://github.com/citation-style-language/schema/raw/master/csl-citation.json" }</w:instrText>
      </w:r>
      <w:r w:rsidR="00061AAE" w:rsidRPr="003355B8">
        <w:rPr>
          <w:rFonts w:ascii="Times New Roman" w:hAnsi="Times New Roman" w:cs="Times New Roman"/>
          <w:color w:val="auto"/>
          <w:sz w:val="20"/>
          <w:szCs w:val="24"/>
          <w:lang w:val="en-GB" w:eastAsia="de-DE"/>
        </w:rPr>
        <w:fldChar w:fldCharType="separate"/>
      </w:r>
      <w:r w:rsidR="00061AAE" w:rsidRPr="003355B8">
        <w:rPr>
          <w:rFonts w:ascii="Times New Roman" w:hAnsi="Times New Roman" w:cs="Times New Roman"/>
          <w:noProof/>
          <w:color w:val="auto"/>
          <w:sz w:val="20"/>
          <w:szCs w:val="24"/>
          <w:lang w:val="en-GB" w:eastAsia="de-DE"/>
        </w:rPr>
        <w:t xml:space="preserve"> Walker et al.,2002</w:t>
      </w:r>
      <w:r w:rsidR="00061AAE" w:rsidRPr="003355B8">
        <w:rPr>
          <w:rFonts w:ascii="Times New Roman" w:hAnsi="Times New Roman" w:cs="Times New Roman"/>
          <w:color w:val="auto"/>
          <w:sz w:val="20"/>
          <w:szCs w:val="24"/>
          <w:lang w:val="en-GB" w:eastAsia="de-DE"/>
        </w:rPr>
        <w:fldChar w:fldCharType="end"/>
      </w:r>
      <w:r w:rsidR="00061AAE"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"ISBN" : "0231101023", "abstract" : "The result of a three-year project involving a combination of prominent ecologists and social scientists, Barriers and Bridges to the Renewal of Ecosystems and Institutions reviews a series of regional examples in its broad-ranging exploration of two key questions: Do institutions learn? and How do ecosystems respond to management actions? The book is a continuation of a series on adaptive environmental management. To answer these questions, the team of researchers looked at common patterns of pathology in managed ecosystems, whereby resource exploitation leads to ecological, social, and institutional breakdown, followed by crisis and, in some examples, reform and learning. Following an introduction by C.S. Holling describing the range of barriers and bridges to be discussed, six regional examples are reviewed. The management histories in New Brunswick forests, the Everglades, Chesapeake Bay, the Columbia River, the Great Lakes, and the Baltic Sea demonstrate how people and ecosystems coevolve. In the third section contributors offer perspectives from social science to suggest broad critical strategies for surmounting barriers and renewing damaged ecosystems. The final chapter provides a unique synthesis that compares ecological and social dynamics. This book will appeal to any reader with an interest in our environment, from property rights advocates to resource practitioners and theorists to environmental activists. What barriers? What bridges? / C.S. Holling -- The forestry problem : adaptive lurches of renewal / Gordon L. Baskerville -- The Everglades : evolution of management in a turbulent ecosystem / Stephen S. Light, Lance H. Gunderson, and C.S. Holling -- The Chesapeake Bay and its watershed : a model for sustainable ecosystem management? / Robert Costanza and Jack Greer -- Deliberately seeking sustainability in the Columbia River Basin / Kai N. Lee -- Barriers and bridges to the restoration of the Great Lakes Basin ecosystem / George R. Francis and Henry A. Regier -- The Baltic : the sea of surprises / Bengt-Owe Jansson and Harald Velner -- Ten theses on the promise and problems and problems of creative ecosystem management in developing countries / Steven E. Sanderson -- Governing design : the management of social systems and ecosystems management / Frances Westley -- Sustainable development as social learning : theoretical perspectives and practical challenges for the design of a research program / Edward A. Parson and William C. Clark -- Ba\u2026", "author" : [ { "dropping-particle" : "", "family" : "Gunderson", "given" : "Lance H.", "non-dropping-particle" : "", "parse-names" : false, "suffix" : "" }, { "dropping-particle" : "", "family" : "Holling", "given" : "C. S.", "non-dropping-particle" : "", "parse-names" : false, "suffix" : "" }, { "dropping-particle" : "", "family" : "Light", "given" : "Stephen S.", "non-dropping-particle" : "", "parse-names" : false, "suffix" : "" } ], "id" : "ITEM-1", "issued" : { "date-parts" : [ [ "1995", "5", "15" ] ] }, "number-of-pages" : "593", "publisher" : "Columbia University Press", "title" : "Barriers and bridges to the renewal of ecosystems and institutions", "type" : "book" }, "uris" : [ "http://www.mendeley.com/documents/?uuid=aaa0a04d-86bb-3dd9-8724-363d0e52b459" ] } ], "mendeley" : { "formattedCitation" : "(Gunderson et al.)", "manualFormatting" : "Gunderson et al., 1995", "plainTextFormattedCitation" : "(Gunderson et al.)", "previouslyFormattedCitation" : "(Gunderson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Gunderson et al., 1995</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"ISBN" : "0521785626", "ISSN" : "1102-4941", "PMID" : "21679024", "abstract" : "While scientists usually examine either ecological systems or social systems, the need exists for an interdisciplinary approach to the problems of environmental management and sustainable development. Developed under the auspices of the Beijer Institute in Stockholm, this volume analyzes social and ecological linkages in selected ecosystems using an international and interdisciplinary case study approach. The chapters provide detailed information on a variety of management practices for dealing with environmental change. Taken as a whole, the book contributes to the greater understanding of essential social responses to changes in ecosystems. A key feature is a set of new, or rediscovered, principles for sustainable ecosystem management.", "author" : [ { "dropping-particle" : "", "family" : "Berkes", "given" : "Fikret", "non-dropping-particle" : "", "parse-names" : false, "suffix" : "" }, { "dropping-particle" : "", "family" : "Folke", "given" : "Carl", "non-dropping-particle" : "", "parse-names" : false, "suffix" : "" } ], "container-title" : "Linking social and ecological systems: management practices and social mechanisms for building resilience", "id" : "ITEM-1", "issued" : { "date-parts" : [ [ "1998" ] ] }, "page" : "13-20", "title" : "Linking social and ecological systems for resilience and sustainability", "type" : "chapter", "volume" : "1" }, "uris" : [ "http://www.mendeley.com/documents/?uuid=442ad8ac-e87b-4cfc-ada2-5ba55c74ddcf" ] } ], "mendeley" : { "formattedCitation" : "(Berkes and Folke)", "manualFormatting" : "Berkes and Folke, 1998", "plainTextFormattedCitation" : "(Berkes and Folke)", "previouslyFormattedCitation" : "(Berkes and Folke)"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Berkes and Folke, 1998</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"10.5751/ES-00122-030204", "ISBN" : "731696TL1583", "ISSN" : "17083087", "abstract" : "Simulation models were developed to explore and illustrate dynamics of socioecological systems. The ecosystem is a lake subject to phosphorus pollution. Phosphorus flows from agriculture to upland soils, to surface waters, where it cycles between water and sediments. The ecosystem is multistable, and moves among domains of attraction depending on the history of pollutant inputs. The alternative states yield different economic benefits. Agents form expectations about ecosystem dynamics, markets, and/or the actions of managers, and choose levels of pollutant inputs accordingly. Agents have heterogeneous beliefs and/or access to information. Their aggregate behavior determines the total rate of pollutant input. As the ecosystem changes, agents update their beliefs and expectations about the world they co-create, and modify their actions accordingly. For a wide range of scenarios, we observe irregular oscillations among ecosystem states and patterns of agent behavior. These oscillations resemble some features of the adaptive cycle of panarchy theory.", "author" : [ { "dropping-particle" : "", "family" : "Carpenter", "given" : "Stephen R.", "non-dropping-particle" : "", "parse-names" : false, "suffix" : "" }, { "dropping-particle" : "", "family" : "Brock", "given" : "William", "non-dropping-particle" : "", "parse-names" : false, "suffix" : "" }, { "dropping-particle" : "", "family" : "Hanson", "given" : "Paul", "non-dropping-particle" : "", "parse-names" : false, "suffix" : "" } ], "container-title" : "Conservation Ecology", "id" : "ITEM-1", "issue" : "2", "issued" : { "date-parts" : [ [ "1999" ] ] }, "page" : "1-31", "title" : "Ecological and social dynamics in simple models of ecosystem management", "type" : "article-journal", "volume" : "3" }, "uris" : [ "http://www.mendeley.com/documents/?uuid=5a4b3a72-1db0-4612-a9ec-73995ad67eb8" ] } ], "mendeley" : { "formattedCitation" : "(Stephen R. Carpenter, Brock, et al.)", "manualFormatting" : " Carpenter et al., 1999a", "plainTextFormattedCitation" : "(Stephen R. Carpenter, Brock, et al.)", "previouslyFormattedCitation" : "(Stephen R. Carpenter, Brock,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 xml:space="preserve"> Carpenter et al., 1999a</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"10.2307/2641327", "ISBN" : "10510761", "ISSN" : "10510761", "PMID" : "730911", "abstract" : "We analyzed management policies for ecosystems subject to alternate states, thresholds, and irreversible changes. We focused on the problem of lake eutrophication by excessive phosphorus (P) input. Eutrophic lakes may be classified, with respect to their response to reduced P input alone, as reversible (recovery is immediate and proportional to the reduction in P input), hysteretic (recovery requires extreme reductions in P input for a period of time), or irreversible (recovery cannot be accomplished by reducing P input alone). A model with one state variable and one control variable describes the responses of lake trophic state to changes in P input and other management interventions. Activities that generate P input to the lake are assumed to create profits, while the value of ecosystem services provided by the lake declines at high P levels. We then calculated P input policies that maximize the discounted net benefits from polluting activities and ecosystem services. If \"optimality\" is defined as maximizing this discounted criterion, then analyses based on deterministic lake dynamics usually lead to higher P input rates than analyses that assume various kinds of variability (e.g., inputs are affected by stochastic factors such as weather, policy is implemented with lags, or parameters of the limnological model are uncertain). In reality, all of these complications occur. Therefore, if maximum economic benefit is the goal of lake management, P input targets should be reduced below levels derived from traditional deterministic models. This pattern may apply to other situations where diffuse pollution causes nonlinear changes in ecosystem state, such as the greenhouse effect or acid deposition.", "author" : [ { "dropping-particle" : "", "family" : "Carpenter", "given" : "S. R.", "non-dropping-particle" : "", "parse-names" : false, "suffix" : "" }, { "dropping-particle" : "", "family" : "Ludwig", "given" : "D.", "non-dropping-particle" : "", "parse-names" : false, "suffix" : "" }, { "dropping-particle" : "", "family" : "Brock", "given" : "W. A.", "non-dropping-particle" : "", "parse-names" : false, "suffix" : "" } ], "container-title" : "Ecological Applications", "id" : "ITEM-1", "issue" : "3", "issued" : { "date-parts" : [ [ "1999" ] ] }, "page" : "751-771", "title" : "Management of eutrophication for lakes subject to potentially irreversible change", "type" : "article-journal", "volume" : "9" }, "uris" : [ "http://www.mendeley.com/documents/?uuid=5881c60b-c27d-4f46-9d2c-7dfa9b8912f2" ] } ], "mendeley" : { "formattedCitation" : "(S. R. Carpenter et al.)", "manualFormatting" : "1999", "plainTextFormattedCitation" : "(S. R. Carpenter et al.)", "previouslyFormattedCitation" : "(S. R. Carpenter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1999</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b;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"10.1007/s100210000040", "ISBN" : "1432-9840", "ISSN" : "14329840", "PMID" : "165189000004", "abstract" : "Ecosystems provide a wide range of services to society. Some forms of use affect the quality of the ecosystem, reducing its value for other users. This leads to a conflict of interest that is often settled through political processes, resulting in some form of regulation. We link theory on ecosystem response to theories from the socioeconomic branches of science to analyze the mechanisms behind two widespread problems associated with such political solutions. First, they often represent a compromise rather than an integrative solution. We demonstrate that, particularly in sensitive ecosystems, integrative solutions yield a higher average social utility and imply a higher ecosystem quality. Integrative solutions require insight into ecosystems responses to different forms of use and a complete overview of ecosystem services to society. Second, there is a systematic bias away from optimal shared use toward activities that are detrimental to ecosystem quality. This bias arises from the fact that utilities depending on ecosystem quality are often shared by large diffuse groups, whereas pollution and harvesting activities can usually be traced to relatively small and well-organized groups. Theory and data indicate that this type of concentrated group is systematically better at mustering political power than large groups, which find it difficult to realize collective action due to what is known in game theory as \"free-rider problems. Our analysis suggests that the following three key ingredients are needed to correct the problems of bias and compromise: (a) clear insight into ecosystem dynamic responses to human use, (b) a broad inventory of credible measurements of ecosystem utilities, (c) avoidance of bias due to differences in the organizational power of groups of stakeholders. We argue that good ecosystem models, institutionalized ecosystem valuation, and innovative tax-setting schedules are essential to achieving a socially fair and sustainable use of ecosystems by societies. In addition, we highlight the fact that many environmental problems remain unresolved for a long time and briefly identify the social mechanisms responsible for this delay.", "author" : [ { "dropping-particle" : "", "family" : "Scheffer", "given" : "Marten", "non-dropping-particle" : "", "parse-names" : false, "suffix" : "" }, { "dropping-particle" : "", "family" : "Brock", "given" : "William", "non-dropping-particle" : "", "parse-names" : false, "suffix" : "" }, { "dropping-particle" : "", "family" : "Westley", "given" : "Frances", "non-dropping-particle" : "", "parse-names" : false, "suffix" : "" } ], "container-title" : "Ecosystems", "id" : "ITEM-1", "issue" : "5", "issued" : { "date-parts" : [ [ "2000" ] ] }, "page" : "451-471", "title" : "Socioeconomic mechanisms preventing optimum use of ecosystem services: An interdisciplinary theoretical analysis", "type" : "article-journal", "volume" : "3" }, "uris" : [ "http://www.mendeley.com/documents/?uuid=5498e723-89b4-4e1f-858f-45507b778f86" ] } ], "mendeley" : { "formattedCitation" : "(Scheffer, Brock, et al.)", "manualFormatting" : "Scheffer et al., 2000", "plainTextFormattedCitation" : "(Scheffer, Brock, et al.)", "previouslyFormattedCitation" : "(Scheffer, Brock,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Scheffer et al., 2000</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"10.1016/j.biocon.2004.01.010", "ISBN" : "0521815924", "ISSN" : "00063207", "PMID" : "12684257", "abstract" : "Drawing on complex systems theory, this book investigates how human societies deal with change in linked social-ecological systems, and build capacity to adapt to change. The concept of resilience is central in this context. Resilient social-ecological systems have the potential to sustain development in a manner that does not lead to loss of future options. Resilient systems provide capacity for renewal and innovation in the face of rapid transformation and crisis. Case studies and examples from several geographic areas, cultures and resource types are included; merging forefront research from natural sciences, social sciences and the humanities into an innovative framework for sustainable systems.", "author" : [ { "dropping-particle" : "", "family" : "Berkes", "given" : "Fikret", "non-dropping-particle" : "", "parse-names" : false, "suffix" : "" }, { "dropping-particle" : "", "family" : "Colding", "given" : "Johan", "non-dropping-particle" : "", "parse-names" : false, "suffix" : "" }, { "dropping-particle" : "", "family" : "Folke", "given" : "Carl", "non-dropping-particle" : "", "parse-names" : false, "suffix" : "" } ], "container-title" : "Building", "id" : "ITEM-1", "issued" : { "date-parts" : [ [ "2003" ] ] }, "page" : "393", "title" : "Navigating social-ecological systems: building resilience for complexity and ...", "type" : "article" }, "uris" : [ "http://www.mendeley.com/documents/?uuid=4a5fb516-8893-41ab-a0f6-6d52be7d7a7c" ] } ], "mendeley" : { "formattedCitation" : "(Berkes et al.)", "manualFormatting" : "Berkes et al., 2003", "plainTextFormattedCitation" : "(Berkes et al.)", "previouslyFormattedCitation" : "(Berkes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Berkes et al., 2003</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"10.5751/ES-00650-090205", "abstract" : "The concept of resilience has evolved considerably since Holling\u2019s (1973) seminal paper. Different interpretations of what is meant by resilience, however, cause confusion. Resilience of a system needs to be considered in terms of the attributes that govern the system\u2019s dynamics. Three related attributes of social\u2013ecological systems (SESs) determine their future trajectories: resilience, adaptability, and transformability. Resilience (the capacity of a system to absorb disturbance and reorganize while undergoing change so as to still retain essentially the same function, structure, identity, and feedbacks) has four components\u2014latitude, resistance, precariousness, and panarchy\u2014most readily portrayed using the metaphor of a stability landscape. Adaptability is the capacity of actors in the system to influence resilience (in a SES, essentially to manage it). There are four general ways in which this can be done, corresponding to the four aspects of resilience. Transformability is the capacity to create a fundamentally new system when ecological, economic, or social structures make the existing system untenable. The implications of this interpretation of SES dynamics for sustainability science include changing the focus from seeking optimal states and the determinants of maximum sustainable yield (the MSY paradigm), to resilience analysis, adaptive resource management, and adaptive governance.", "author" : [ { "dropping-particle" : "", "family" : "Walker", "given" : "Brian", "non-dropping-particle" : "", "parse-names" : false, "suffix" : "" }, { "dropping-particle" : "", "family" : "Holling", "given" : "C.S.", "non-dropping-particle" : "", "parse-names" : false, "suffix" : "" }, { "dropping-particle" : "", "family" : "Carpenter", "given" : "Stephen R.", "non-dropping-particle" : "", "parse-names" : false, "suffix" : "" }, { "dropping-particle" : "", "family" : "Kinzing", "given" : "Ann", "non-dropping-particle" : "", "parse-names" : false, "suffix" : "" } ], "container-title" : "Ecology and Society", "id" : "ITEM-1", "issue" : "2", "issued" : { "date-parts" : [ [ "2004" ] ] }, "title" : "Resilience , Adaptability and Transformability in Social-Ecological Systems Resilience , Adaptability and Transformability in Social \u2013 ecological Systems", "type" : "article-journal", "volume" : "9" }, "uris" : [ "http://www.mendeley.com/documents/?uuid=77d6d556-e5ec-4766-9a9f-5386b3ae0e26" ] } ], "mendeley" : { "formattedCitation" : "(Brian Walker et al.)", "manualFormatting" : "Walker et al., 2004", "plainTextFormattedCitation" : "(Brian Walker et al.)", "previouslyFormattedCitation" : "(Brian Walker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Walker et al., 2004</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"8", "ISBN" : "1195-5449", "ISSN" : "17083087", "PMID" : "10270443", "abstract" : "The dynamics of and policies governing spatially coupled social-ecological mosaics are considered for the case of fisheries in a lake district. A microeconomic model of households addresses agent decisions at three hierarchic levels: (1) selection of the lake district from among a larger set of alternative places to live or visit, (2) selection of a base location within the lake district, and (3) selection of a portfolio of ecosystem services to use. Ecosystem services are represented by dynamics of fish production subject to multiple stable domains and trophic cascades. Policy calculations show that optimal policies will be highly heterogeneous in space and fluid in time. The diversity of possible outcomes is illustrated by simulations for a hypothetical lake district based loosely on the Northern Highlands of the State of Wisconsin. Lake districts are frequently managed as if lakes were independent, similar, endogenously regulating systems. Our findings contradict that view. One-size-fits-all (OSFA) policies erode ecological and social resilience. If regulations are too stringent, social resilience declines because of the potential rewards of overharvesting. If regulations are too lax, ecological resilience is diminished by overharvesting in some lakes. In either case, local collapses of fish populations evoke spatial shifts of angling effort that can lead to serial collapses in neighboring fisheries and degraded fisheries in most or all of the lakes. Under OSFA management, the natural resources of the entire landscape become more vulnerable to transformation because of changes in, e.g., human population, the demand for resources, or fish harvesting technology. Multiplicity of management regimes can increase the ecological resilience, social resilience, and inclusive value of a spatially heterogeneous social-ecological system. Because of the complex interactions of mobile people and multistable ecosystems, management regimes must also be flexible over time. A rights-based scheme may facilitate policy regimes with appropriate spatial patterns and intertemporal fluidity. In lake fisheries, habitat protection adds an important dimension to policy design. Habitat is a slowly changing variable that creates ecological resilience and thereby provides managers with a broader range of options.", "author" : [ { "dropping-particle" : "", "family" : "Carpenter", "given" : "Stephen R.", "non-dropping-particle" : "", "parse-names" : false, "suffix" : "" }, { "dropping-particle" : "", "family" : "Brock", "given" : "William A.", "non-dropping-particle" : "", "parse-names" : false, "suffix" : "" } ], "container-title" : "Ecology and Society", "id" : "ITEM-1", "issue" : "1", "issued" : { "date-parts" : [ [ "2004" ] ] }, "title" : "Spatial complexity, resilience, and policy diversity: Fishing on lake-rich landscapes", "type" : "article-journal", "volume" : "9" }, "uris" : [ "http://www.mendeley.com/documents/?uuid=8744ed2b-7fe0-4a2c-9cc4-6f6781c92384" ] } ], "mendeley" : { "formattedCitation" : "(Carpenter and Brock)", "manualFormatting" : "Carpenter and Brock, 2004", "plainTextFormattedCitation" : "(Carpenter and Brock)", "previouslyFormattedCitation" : "(Carpenter and Brock)"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Carpenter and Brock, 2004</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"10.1016/S0095-0696(03)00069-X", "ISBN" : "0095-0696", "ISSN" : "00950696", "abstract" : "Savanna rangelands are characterized by dynamic interactions between grass, shrubs, fire and livestock driven by highly variable rainfall. When the livestock are grazers (only or preferentially eating grass) the desirable state of the system is dominated by grass, with scattered trees and shrubs. However, the system can have multiple stable attractors and a perturbation such as a drought can cause it to move from such a desired configuration into one that is dominated by shrubs with very little grass. In this paper, using the rangelands of New South Wales in Australia as an example, we provide a methodology to find robust management strategies in the context of this complex ecological system driven by stochastic rainfall events. The control variables are sheep density and the degree of fire suppression. By comparing the optimal solution where it is assumed the manager has perfect knowledge and foresight of rainfall conditions with one where the rainfall variability is ignored, we found that rainfall variability and the related uncertainty lead to a reduction of the possible expected returns from grazing activity by 33%. Using a genetic algorithm, we develop robust management strategies for highly variable rainfall that more than doubles expected returns compared to those obtained under variable rainfall using an optimal solution based on average rainfall (i.e., where the manager ignores rainfall variability). Our analysis suggests some key features of a robust strategy. The robust strategy is precautionary and is forced by rainfall variability. It is less reactive with respect to grazing pressure changes and more reactive with respect to fire suppression than is an optimum strategy based on a deterministic system (no rainfall variability). Finally, the costs associated with implementing a robust strategy are far less than the expected economic losses when uncertainty is not taken into account. \u00a9 2003 Elsevier Science (USA). All rights reserved.", "author" : [ { "dropping-particle" : "", "family" : "Janssen", "given" : "Marco A.", "non-dropping-particle" : "", "parse-names" : false, "suffix" : "" }, { "dropping-particle" : "", "family" : "Anderies", "given" : "John M.", "non-dropping-particle" : "", "parse-names" : false, "suffix" : "" }, { "dropping-particle" : "", "family" : "Walker", "given" : "Brian H.", "non-dropping-particle" : "", "parse-names" : false, "suffix" : "" } ], "container-title" : "Journal of Environmental Economics and Management", "id" : "ITEM-1", "issue" : "1", "issued" : { "date-parts" : [ [ "2004" ] ] }, "page" : "140-162", "title" : "Robust strategies for managing rangelands with multiple stable attractors", "type" : "article-journal", "volume" : "47" }, "uris" : [ "http://www.mendeley.com/documents/?uuid=533d2862-b889-46da-8ebc-379f664d8500" ] } ], "mendeley" : { "formattedCitation" : "(Janssen et al.)", "manualFormatting" : "Janssen et al., 2004", "plainTextFormattedCitation" : "(Janssen et al.)", "previouslyFormattedCitation" : "(Janssen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Janssen et al., 2004</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"10.1639/0044-7447(2002)031[0437:RASDBA]2.0.CO;2", "ISBN" : "0044-7447", "ISSN" : "0044-7447", "PMID" : "12374053", "abstract" : "Emerging recognition of two fundamental errors underpinning past polices for natural resource issues heralds awareness of the need for a worldwide fundamental change in thinking and in practice of environmental management. The first error has been an implicit assumption that ecosystem responses to human use are linear, predictable and controllable. The second has been an assumption that human and natural systems can be treated independently. However, evidence that has been accumulating in diverse regions all over the world suggests that natural and social systems behave in nonlinear ways, exhibit marked thresholds in their dynamics, and that social-ecological systems act as strongly coupled, complex and evolving integrated systems. This article is a summary of a report prepared on behalf of the Environmental Advisory Council to the Swedish Government, as input to the process of the World Summit on Sustainable Development (WSSD) in Johannesburg, South Africa in 26 August 4 September 2002. We use the concept of resilience\u2014 the capacity to buffer change, learn and develop\u2014 as a framework for understanding how to sustain and enhance adaptive capacity in a complex world of rapid transformations. Two useful tools for resilience-building in social-ecological systems are structured scenarios and active adaptive management. These tools require and facilitate a social context with flexible and open institutions and multi-level governance systems that allow for learning and increase adaptive capacity without foreclosing future development options.", "author" : [ { "dropping-particle" : "", "family" : "Folke", "given" : "Carl", "non-dropping-particle" : "", "parse-names" : false, "suffix" : "" }, { "dropping-particle" : "", "family" : "Carpenter", "given" : "Steve", "non-dropping-particle" : "", "parse-names" : false, "suffix" : "" }, { "dropping-particle" : "", "family" : "Elmqvist", "given" : "Thomas", "non-dropping-particle" : "", "parse-names" : false, "suffix" : "" }, { "dropping-particle" : "", "family" : "Gunderson", "given" : "Lance", "non-dropping-particle" : "", "parse-names" : false, "suffix" : "" }, { "dropping-particle" : "", "family" : "Holling", "given" : "CS", "non-dropping-particle" : "", "parse-names" : false, "suffix" : "" }, { "dropping-particle" : "", "family" : "Walker", "given" : "Brian", "non-dropping-particle" : "", "parse-names" : false, "suffix" : "" } ], "container-title" : "AMBIO: A Journal of the Human Environment", "id" : "ITEM-1", "issue" : "5", "issued" : { "date-parts" : [ [ "2002" ] ] }, "page" : "437", "title" : "Resilience and Sustainable Development: Building Adaptive Capacity in a World of Transformations", "type" : "article-journal", "volume" : "31" }, "uris" : [ "http://www.mendeley.com/documents/?uuid=3937e044-6048-4f2d-acf2-0c952aa3a96b" ] } ], "mendeley" : { "formattedCitation" : "(Folke, S. Carpenter, et al.)", "manualFormatting" : "Folke et al., 2002", "plainTextFormattedCitation" : "(Folke, S. Carpenter, et al.)", "previouslyFormattedCitation" : "(Folke, S. Carpenter,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Folke et al., 2002</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"10.1007/s10021-006-0017-1", "ISBN" : "1432-9840\\n1435-0629", "ISSN" : "14329840", "abstract" : "Linked social-ecological systems in which surprise and crisis are interspersed with periods of stability and predictability are inherently difficult to manage. This condition, coupled with the legacies of past management actions, typically leaves policy and decision makers few options other than to incrementally adapt and reinforce the current trajectory of the system. Decision making becomes increasingly reactive and incremental as the system moves from one crisis to another. Eventually the system loses its capacity to cope with perturbations and surprise. Using a combination of dynamical-systems modeling and historical analysis, we studied a process of this kind as it developed in the Goulburn Broken Catchment in southeastern Australia over the past 150 years. Using the model to simulate trajectories of the biohydrological system, we correlate the state of the physical system to historical events and management action. We show how sequential management decisions have eroded the resilience of the system (its ability to cope with shocks and surprises) and reduced options for future change. Using the model in a forward-looking mode, we explore future management options and their implications for the resilience of the system.", "author" : [ { "dropping-particle" : "", "family" : "Anderies", "given" : "John M.", "non-dropping-particle" : "", "parse-names" : false, "suffix" : "" }, { "dropping-particle" : "", "family" : "Ryan", "given" : "Paul", "non-dropping-particle" : "", "parse-names" : false, "suffix" : "" }, { "dropping-particle" : "", "family" : "Walker", "given" : "Brian H.", "non-dropping-particle" : "", "parse-names" : false, "suffix" : "" } ], "container-title" : "Ecosystems", "id" : "ITEM-1", "issue" : "6", "issued" : { "date-parts" : [ [ "2006" ] ] }, "page" : "865-878", "title" : "Loss of resilience, crisis, and institutional change: Lessons from an intensive agricultural system in southeastern Australia", "type" : "article-journal", "volume" : "9" }, "uris" : [ "http://www.mendeley.com/documents/?uuid=b5fc3ffd-f4f4-4f75-bd85-cdaa51a58ab3" ] } ], "mendeley" : { "formattedCitation" : "(John M. Anderies, Ryan, et al., \u201cLoss of Resilience, Crisis, and Institutional Change: Lessons from an Intensive Agricultural System in Southeastern Australia\u201d)", "manualFormatting" : "Anderies et al., 2006", "plainTextFormattedCitation" : "(John M. Anderies, Ryan, et al., \u201cLoss of Resilience, Crisis, and Institutional Change: Lessons from an Intensive Agricultural System in Southeastern Australia\u201d)", "previouslyFormattedCitation" : "(John M. Anderies, Ryan, et al., \u201cLoss of Resilience, Crisis, and Institutional Change: Lessons from an Intensive Agricultural System in Southeastern Australia\u201d)"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Anderies et al., 2006</w:t>
      </w:r>
      <w:r w:rsidR="000E17FF" w:rsidRPr="003355B8">
        <w:rPr>
          <w:rStyle w:val="FootnoteReference"/>
          <w:rFonts w:ascii="Times New Roman" w:hAnsi="Times New Roman" w:cs="Times New Roman"/>
          <w:color w:val="auto"/>
          <w:sz w:val="20"/>
          <w:szCs w:val="24"/>
          <w:lang w:val="en-GB" w:eastAsia="de-DE"/>
        </w:rPr>
        <w:fldChar w:fldCharType="end"/>
      </w:r>
      <w:r w:rsidR="00F67202" w:rsidRPr="003355B8">
        <w:rPr>
          <w:rStyle w:val="FootnoteReference"/>
          <w:rFonts w:ascii="Times New Roman" w:hAnsi="Times New Roman" w:cs="Times New Roman"/>
          <w:color w:val="auto"/>
          <w:sz w:val="20"/>
          <w:szCs w:val="24"/>
          <w:vertAlign w:val="baseline"/>
          <w:lang w:val="en-GB" w:eastAsia="de-DE"/>
        </w:rPr>
        <w:t xml:space="preserve">; </w:t>
      </w:r>
      <w:r w:rsidR="00946D1A" w:rsidRPr="003355B8">
        <w:rPr>
          <w:rStyle w:val="FootnoteReference"/>
          <w:rFonts w:ascii="Times New Roman" w:hAnsi="Times New Roman" w:cs="Times New Roman"/>
          <w:color w:val="auto"/>
          <w:sz w:val="20"/>
          <w:szCs w:val="24"/>
          <w:vertAlign w:val="baseline"/>
          <w:lang w:val="en-GB" w:eastAsia="de-DE"/>
        </w:rPr>
        <w:fldChar w:fldCharType="begin" w:fldLock="1"/>
      </w:r>
      <w:r w:rsidR="00946D1A" w:rsidRPr="003355B8">
        <w:rPr>
          <w:rFonts w:ascii="Times New Roman" w:hAnsi="Times New Roman" w:cs="Times New Roman"/>
          <w:color w:val="auto"/>
          <w:sz w:val="20"/>
          <w:szCs w:val="24"/>
          <w:lang w:val="en-GB" w:eastAsia="de-DE"/>
        </w:rPr>
        <w:instrText>ADDIN CSL_CITATION { "citationItems" : [ { "id" : "ITEM-1", "itemData" : { "DOI" : "10.5751/ES-08748-210341", "ISBN" : "1708-3087", "ISSN" : "17083087", "abstract" : "Humanity has emerged as a major force in the operation of the biosphere. The focus is shifting from the environment as externality to the biosphere as precondition for social justice, economic development, and sustainability. In this article, we exemplify the intertwined nature of social-ecological systems and emphasize that they operate within, and as embedded parts of the biosphere and as such coevolve with and depend on it. We regard social-ecological systems as complex adaptive systems and use a social-ecological resilience approach as a lens to address and understand their dynamics. We raise the challenge of stewardship of development in concert with the biosphere for people in diverse contexts and places as critical for long-term sustainability and dignity in human relations. Biosphere stewardship is essential, in the globalized world of interactions with the Earth system, to sustain and enhance our life-supporting environment for human well-being and future human development on Earth, hence, the need to reconnect development to the biosphere foundation and the need for a biosphere-based sustainability science.", "author" : [ { "dropping-particle" : "", "family" : "Folke", "given" : "Carl", "non-dropping-particle" : "", "parse-names" : false, "suffix" : "" }, { "dropping-particle" : "", "family" : "Biggs", "given" : "Reinette", "non-dropping-particle" : "", "parse-names" : false, "suffix" : "" }, { "dropping-particle" : "V.", "family" : "Norstr\u00ef\u00bf\u00bdm", "given" : "Albert", "non-dropping-particle" : "", "parse-names" : false, "suffix" : "" }, { "dropping-particle" : "", "family" : "Reyers", "given" : "Belinda", "non-dropping-particle" : "", "parse-names" : false, "suffix" : "" }, { "dropping-particle" : "", "family" : "Rockstr\u00ef\u00bf\u00bdm", "given" : "Johan", "non-dropping-particle" : "", "parse-names" : false, "suffix" : "" } ], "container-title" : "Ecology and Society", "id" : "ITEM-1", "issue" : "3", "issued" : { "date-parts" : [ [ "2016" ] ] }, "title" : "Social-ecological resilience and biosphere-based sustainability science", "type" : "article-journal", "volume" : "21" }, "uris" : [ "http://www.mendeley.com/documents/?uuid=fb42e648-0494-4e24-9358-081df239632f" ] } ], "mendeley" : { "formattedCitation" : "(Folke, Biggs, et al.)", "manualFormatting" : "Folke et al., 2014", "plainTextFormattedCitation" : "(Folke, Biggs, et al.)", "previouslyFormattedCitation" : "(Folke, Biggs, et al.)" }, "properties" : { "noteIndex" : 0 }, "schema" : "https://github.com/citation-style-language/schema/raw/master/csl-citation.json" }</w:instrText>
      </w:r>
      <w:r w:rsidR="00946D1A" w:rsidRPr="003355B8">
        <w:rPr>
          <w:rStyle w:val="FootnoteReference"/>
          <w:rFonts w:ascii="Times New Roman" w:hAnsi="Times New Roman" w:cs="Times New Roman"/>
          <w:color w:val="auto"/>
          <w:sz w:val="20"/>
          <w:szCs w:val="24"/>
          <w:vertAlign w:val="baseline"/>
          <w:lang w:val="en-GB" w:eastAsia="de-DE"/>
        </w:rPr>
        <w:fldChar w:fldCharType="separate"/>
      </w:r>
      <w:r w:rsidR="00946D1A" w:rsidRPr="003355B8">
        <w:rPr>
          <w:rFonts w:ascii="Times New Roman" w:hAnsi="Times New Roman" w:cs="Times New Roman"/>
          <w:noProof/>
          <w:color w:val="auto"/>
          <w:sz w:val="20"/>
          <w:szCs w:val="24"/>
          <w:lang w:val="en-GB" w:eastAsia="de-DE"/>
        </w:rPr>
        <w:t>Folke et al., 2016</w:t>
      </w:r>
      <w:r w:rsidR="00946D1A" w:rsidRPr="003355B8">
        <w:rPr>
          <w:rStyle w:val="FootnoteReference"/>
          <w:rFonts w:ascii="Times New Roman" w:hAnsi="Times New Roman" w:cs="Times New Roman"/>
          <w:color w:val="auto"/>
          <w:sz w:val="20"/>
          <w:szCs w:val="24"/>
          <w:vertAlign w:val="baseline"/>
          <w:lang w:val="en-GB" w:eastAsia="de-DE"/>
        </w:rPr>
        <w:fldChar w:fldCharType="end"/>
      </w:r>
      <w:r w:rsidR="00770659" w:rsidRPr="003355B8">
        <w:rPr>
          <w:rFonts w:ascii="Times New Roman" w:hAnsi="Times New Roman" w:cs="Times New Roman"/>
          <w:noProof/>
          <w:color w:val="auto"/>
          <w:sz w:val="20"/>
          <w:szCs w:val="24"/>
          <w:lang w:val="en-GB" w:eastAsia="de-DE"/>
        </w:rPr>
        <w:t>;</w:t>
      </w:r>
      <w:r w:rsidR="00425E6D" w:rsidRPr="003355B8">
        <w:rPr>
          <w:rFonts w:ascii="Times New Roman" w:hAnsi="Times New Roman" w:cs="Times New Roman"/>
          <w:noProof/>
          <w:color w:val="auto"/>
          <w:sz w:val="20"/>
          <w:szCs w:val="24"/>
          <w:lang w:val="en-GB" w:eastAsia="de-DE"/>
        </w:rPr>
        <w:t xml:space="preserve"> </w:t>
      </w:r>
      <w:r w:rsidR="00C058F3" w:rsidRPr="003355B8">
        <w:rPr>
          <w:rFonts w:ascii="Times New Roman" w:hAnsi="Times New Roman" w:cs="Times New Roman"/>
          <w:noProof/>
          <w:color w:val="auto"/>
          <w:sz w:val="20"/>
          <w:szCs w:val="24"/>
          <w:lang w:val="en-GB" w:eastAsia="de-DE"/>
        </w:rPr>
        <w:fldChar w:fldCharType="begin" w:fldLock="1"/>
      </w:r>
      <w:r w:rsidR="0011373D" w:rsidRPr="003355B8">
        <w:rPr>
          <w:rFonts w:ascii="Times New Roman" w:hAnsi="Times New Roman" w:cs="Times New Roman"/>
          <w:noProof/>
          <w:color w:val="auto"/>
          <w:sz w:val="20"/>
          <w:szCs w:val="24"/>
          <w:lang w:val="en-GB" w:eastAsia="de-DE"/>
        </w:rPr>
        <w:instrText>ADDIN CSL_CITATION { "citationItems" : [ { "id" : "ITEM-1", "itemData" : { "DOI" : "10.1177/0309132511425708", "ISBN" : "03091325", "ISSN" : "0309-1325", "PMID" : "77683567", "abstract" : "The concept of resilience in ecology has been expanded into a framework to analyse human-environment dynamics. The extension of resilience notions to society has important limits, particularly its conceptualization of social change. The paper argues that this stems from the lack of attention to normative and epistemological issues underlying the notion of ?social resilience?. We suggest that critically examining the role of knowledge at the intersections between social and environmental dynamics helps to address normative questions and to capture how power and competing value systems are not external to, but rather integral to the development and functioning of SES.", "author" : [ { "dropping-particle" : "", "family" : "Cote", "given" : "Muriel", "non-dropping-particle" : "", "parse-names" : false, "suffix" : "" }, { "dropping-particle" : "", "family" : "Nightingale", "given" : "Andrea J.", "non-dropping-particle" : "", "parse-names" : false, "suffix" : "" } ], "container-title" : "Progress in Human Geography", "id" : "ITEM-1", "issue" : "4", "issued" : { "date-parts" : [ [ "2012" ] ] }, "page" : "475-489", "title" : "Resilience thinking meets social theory", "type" : "article-journal", "volume" : "36" }, "uris" : [ "http://www.mendeley.com/documents/?uuid=9b6d1fed-1e6d-4051-8f5f-f2e98f08d767" ] } ], "mendeley" : { "formattedCitation" : "(Cote and Nightingale)", "manualFormatting" : "Cote and Nightingale,", "plainTextFormattedCitation" : "(Cote and Nightingale)", "previouslyFormattedCitation" : "(Cote and Nightingale)" }, "properties" : { "noteIndex" : 0 }, "schema" : "https://github.com/citation-style-language/schema/raw/master/csl-citation.json" }</w:instrText>
      </w:r>
      <w:r w:rsidR="00C058F3" w:rsidRPr="003355B8">
        <w:rPr>
          <w:rFonts w:ascii="Times New Roman" w:hAnsi="Times New Roman" w:cs="Times New Roman"/>
          <w:noProof/>
          <w:color w:val="auto"/>
          <w:sz w:val="20"/>
          <w:szCs w:val="24"/>
          <w:lang w:val="en-GB" w:eastAsia="de-DE"/>
        </w:rPr>
        <w:fldChar w:fldCharType="separate"/>
      </w:r>
      <w:r w:rsidR="00C058F3" w:rsidRPr="003355B8">
        <w:rPr>
          <w:rFonts w:ascii="Times New Roman" w:hAnsi="Times New Roman" w:cs="Times New Roman"/>
          <w:noProof/>
          <w:color w:val="auto"/>
          <w:sz w:val="20"/>
          <w:szCs w:val="24"/>
          <w:lang w:val="en-GB" w:eastAsia="de-DE"/>
        </w:rPr>
        <w:t>Cote and Nightingale</w:t>
      </w:r>
      <w:r w:rsidR="00425E6D" w:rsidRPr="003355B8">
        <w:rPr>
          <w:rFonts w:ascii="Times New Roman" w:hAnsi="Times New Roman" w:cs="Times New Roman"/>
          <w:noProof/>
          <w:color w:val="auto"/>
          <w:sz w:val="20"/>
          <w:szCs w:val="24"/>
          <w:lang w:val="en-GB" w:eastAsia="de-DE"/>
        </w:rPr>
        <w:t>,</w:t>
      </w:r>
      <w:r w:rsidR="00C058F3" w:rsidRPr="003355B8">
        <w:rPr>
          <w:rFonts w:ascii="Times New Roman" w:hAnsi="Times New Roman" w:cs="Times New Roman"/>
          <w:noProof/>
          <w:color w:val="auto"/>
          <w:sz w:val="20"/>
          <w:szCs w:val="24"/>
          <w:lang w:val="en-GB" w:eastAsia="de-DE"/>
        </w:rPr>
        <w:fldChar w:fldCharType="end"/>
      </w:r>
      <w:r w:rsidR="00425E6D" w:rsidRPr="003355B8">
        <w:rPr>
          <w:rFonts w:ascii="Times New Roman" w:hAnsi="Times New Roman" w:cs="Times New Roman"/>
          <w:noProof/>
          <w:color w:val="auto"/>
          <w:sz w:val="20"/>
          <w:szCs w:val="24"/>
          <w:lang w:val="en-GB" w:eastAsia="de-DE"/>
        </w:rPr>
        <w:t xml:space="preserve"> 2012</w:t>
      </w:r>
      <w:r w:rsidR="00C058F3" w:rsidRPr="003355B8">
        <w:rPr>
          <w:rFonts w:ascii="Times New Roman" w:hAnsi="Times New Roman" w:cs="Times New Roman"/>
          <w:noProof/>
          <w:color w:val="auto"/>
          <w:sz w:val="20"/>
          <w:szCs w:val="24"/>
          <w:lang w:val="en-GB" w:eastAsia="de-DE"/>
        </w:rPr>
        <w:t>;</w:t>
      </w:r>
      <w:r w:rsidR="00770659" w:rsidRPr="003355B8">
        <w:rPr>
          <w:rFonts w:ascii="Times New Roman" w:hAnsi="Times New Roman" w:cs="Times New Roman"/>
          <w:noProof/>
          <w:color w:val="auto"/>
          <w:sz w:val="20"/>
          <w:szCs w:val="24"/>
          <w:lang w:val="en-GB" w:eastAsia="de-DE"/>
        </w:rPr>
        <w:t xml:space="preserve"> </w:t>
      </w:r>
      <w:r w:rsidR="00770659" w:rsidRPr="003355B8">
        <w:rPr>
          <w:rFonts w:ascii="Times New Roman" w:hAnsi="Times New Roman" w:cs="Times New Roman"/>
          <w:noProof/>
          <w:color w:val="auto"/>
          <w:sz w:val="20"/>
          <w:szCs w:val="24"/>
          <w:lang w:val="en-GB" w:eastAsia="de-DE"/>
        </w:rPr>
        <w:fldChar w:fldCharType="begin" w:fldLock="1"/>
      </w:r>
      <w:r w:rsidR="0011373D" w:rsidRPr="003355B8">
        <w:rPr>
          <w:rFonts w:ascii="Times New Roman" w:hAnsi="Times New Roman" w:cs="Times New Roman"/>
          <w:noProof/>
          <w:color w:val="auto"/>
          <w:sz w:val="20"/>
          <w:szCs w:val="24"/>
          <w:lang w:val="en-GB" w:eastAsia="de-DE"/>
        </w:rPr>
        <w:instrText>ADDIN CSL_CITATION { "citationItems" : [ { "id" : "ITEM-1", "itemData" : { "DOI" : "10.1038/srep16196", "ISSN" : "20452322", "PMID" : "26537459", "abstract" : "The abundance of multistable dynamical systems calls for an appropriate quantification of the respective stability of the (stable) states of such systems. Motivated by the concept of ecological resilience, we propose a novel and pragmatic measure called 'integral stability' which integrates different aspects commonly addressed separately by existing local and global stability concepts. We demonstrate the potential of integral stability by using exemplary multistable dynamical systems such as the damped driven pendulum, a model of Amazonian rainforest as a known climate tipping element and the Daisyworld model. A crucial feature of integral stability lies in its potential of arresting a gradual loss of the stability of a system when approaching a tipping point, thus providing a potential early-warning signal sufficiently prior to a qualitative change of the system's dynamics.", "author" : [ { "dropping-particle" : "", "family" : "Mitra", "given" : "Chiranjit", "non-dropping-particle" : "", "parse-names" : false, "suffix" : "" }, { "dropping-particle" : "", "family" : "Kurths", "given" : "J\u00fcrgen", "non-dropping-particle" : "", "parse-names" : false, "suffix" : "" }, { "dropping-particle" : "V.", "family" : "Donner", "given" : "Reik", "non-dropping-particle" : "", "parse-names" : false, "suffix" : "" } ], "container-title" : "Scientific Reports", "id" : "ITEM-1", "issued" : { "date-parts" : [ [ "2015" ] ] }, "page" : "1-10", "publisher" : "Nature Publishing Group", "title" : "An integrative quantifier of multistability in complex systems based on ecological resilience", "type" : "article-journal", "volume" : "5" }, "uris" : [ "http://www.mendeley.com/documents/?uuid=64384acd-2255-4362-b3eb-1f4cdf71c8b8" ] } ], "mendeley" : { "formattedCitation" : "(Mitra et al.)", "manualFormatting" : "Mitra et al.,", "plainTextFormattedCitation" : "(Mitra et al.)", "previouslyFormattedCitation" : "(Mitra et al.)" }, "properties" : { "noteIndex" : 0 }, "schema" : "https://github.com/citation-style-language/schema/raw/master/csl-citation.json" }</w:instrText>
      </w:r>
      <w:r w:rsidR="00770659" w:rsidRPr="003355B8">
        <w:rPr>
          <w:rFonts w:ascii="Times New Roman" w:hAnsi="Times New Roman" w:cs="Times New Roman"/>
          <w:noProof/>
          <w:color w:val="auto"/>
          <w:sz w:val="20"/>
          <w:szCs w:val="24"/>
          <w:lang w:val="en-GB" w:eastAsia="de-DE"/>
        </w:rPr>
        <w:fldChar w:fldCharType="separate"/>
      </w:r>
      <w:r w:rsidR="00770659" w:rsidRPr="003355B8">
        <w:rPr>
          <w:rFonts w:ascii="Times New Roman" w:hAnsi="Times New Roman" w:cs="Times New Roman"/>
          <w:noProof/>
          <w:color w:val="auto"/>
          <w:sz w:val="20"/>
          <w:szCs w:val="24"/>
          <w:lang w:val="en-GB" w:eastAsia="de-DE"/>
        </w:rPr>
        <w:t>Mitra et al.,</w:t>
      </w:r>
      <w:r w:rsidR="00770659" w:rsidRPr="003355B8">
        <w:rPr>
          <w:rFonts w:ascii="Times New Roman" w:hAnsi="Times New Roman" w:cs="Times New Roman"/>
          <w:noProof/>
          <w:color w:val="auto"/>
          <w:sz w:val="20"/>
          <w:szCs w:val="24"/>
          <w:lang w:val="en-GB" w:eastAsia="de-DE"/>
        </w:rPr>
        <w:fldChar w:fldCharType="end"/>
      </w:r>
      <w:r w:rsidR="00770659" w:rsidRPr="003355B8">
        <w:rPr>
          <w:rFonts w:ascii="Times New Roman" w:hAnsi="Times New Roman" w:cs="Times New Roman"/>
          <w:noProof/>
          <w:color w:val="auto"/>
          <w:sz w:val="20"/>
          <w:szCs w:val="24"/>
          <w:lang w:val="en-GB" w:eastAsia="de-DE"/>
        </w:rPr>
        <w:t xml:space="preserve"> </w:t>
      </w:r>
      <w:r w:rsidR="00D2506E" w:rsidRPr="003355B8">
        <w:rPr>
          <w:rFonts w:ascii="Times New Roman" w:hAnsi="Times New Roman" w:cs="Times New Roman"/>
          <w:noProof/>
          <w:color w:val="auto"/>
          <w:sz w:val="20"/>
          <w:szCs w:val="24"/>
          <w:lang w:val="en-GB" w:eastAsia="de-DE"/>
        </w:rPr>
        <w:t>2015</w:t>
      </w:r>
      <w:r w:rsidR="00326673" w:rsidRPr="003355B8">
        <w:rPr>
          <w:rFonts w:ascii="Times New Roman" w:hAnsi="Times New Roman" w:cs="Times New Roman"/>
          <w:noProof/>
          <w:color w:val="auto"/>
          <w:sz w:val="20"/>
          <w:szCs w:val="24"/>
          <w:lang w:val="en-GB" w:eastAsia="de-DE"/>
        </w:rPr>
        <w:t>;</w:t>
      </w:r>
      <w:r w:rsidR="00326673" w:rsidRPr="003355B8">
        <w:rPr>
          <w:rFonts w:ascii="Times New Roman" w:hAnsi="Times New Roman" w:cs="Times New Roman"/>
          <w:noProof/>
          <w:color w:val="auto"/>
          <w:sz w:val="20"/>
          <w:szCs w:val="24"/>
          <w:lang w:val="en-GB" w:eastAsia="de-DE"/>
        </w:rPr>
        <w:fldChar w:fldCharType="begin" w:fldLock="1"/>
      </w:r>
      <w:r w:rsidR="0011373D" w:rsidRPr="003355B8">
        <w:rPr>
          <w:rFonts w:ascii="Times New Roman" w:hAnsi="Times New Roman" w:cs="Times New Roman"/>
          <w:noProof/>
          <w:color w:val="auto"/>
          <w:sz w:val="20"/>
          <w:szCs w:val="24"/>
          <w:lang w:val="en-GB" w:eastAsia="de-DE"/>
        </w:rPr>
        <w:instrText>ADDIN CSL_CITATION { "citationItems" : [ { "id" : "ITEM-1", "itemData" : { "DOI" : "10.1016/j.tree.2017.06.014", "ISBN" : "0169-5347", "ISSN" : "01695347", "PMID" : "28734593", "abstract" : "Ecosystems influence human societies, leading people to manage ecosystems for human benefit. Poor environmental management can lead to reduced ecological resilience and social\u2013ecological collapse. We review research on resilience and collapse across different systems and propose a unifying social\u2013ecological framework based on (i) a clear definition of system identity; (ii) the use of quantitative thresholds to define collapse; (iii) relating collapse processes to system structure; and (iv) explicit comparison of alternative hypotheses and models of collapse. Analysis of 17 representative cases identified 14 mechanisms, in five classes, that explain social\u2013ecological collapse. System structure influences the kind of collapse a system may experience. Mechanistic theories of collapse that unite structure and process can make fundamental contributions to solving global environmental problems. As social\u2013ecological systems enter a period of rapid global change, science must predict and explain \u2018unthinkable\u2019 social, ecological, and social\u2013ecological collapses. Existing theories of collapse are weakly integrated with resilience theory and ideas about vulnerability and sustainability. Mechanisms of collapse are poorly understood and often heavily contested. Progress in understanding collapse requires greater clarity on system identity and alternative causes of collapse. Archaeological theories have focused on a limited range of reasons for system collapse. In resilience theory, the adaptive cycle has been used to describe collapse but offers little insight into the mechanisms that cause it. Theories of collapse should connect structure and process. Mechanistic, structure\u2013process\u2013function theories of collapse suggest new avenues for understanding and improving resilience.", "author" : [ { "dropping-particle" : "", "family" : "Cumming", "given" : "Graeme S.", "non-dropping-particle" : "", "parse-names" : false, "suffix" : "" }, { "dropping-particle" : "", "family" : "Peterson", "given" : "Garry D.", "non-dropping-particle" : "", "parse-names" : false, "suffix" : "" } ], "container-title" : "Trends in Ecology and Evolution", "id" : "ITEM-1", "issue" : "9", "issued" : { "date-parts" : [ [ "2017" ] ] }, "page" : "695-713", "publisher" : "Elsevier Ltd", "title" : "Unifying Research on Social\u2013Ecological Resilience and Collapse", "type" : "article-journal", "volume" : "32" }, "uris" : [ "http://www.mendeley.com/documents/?uuid=a76709f8-f704-4db4-b0c1-c143ee9ed0ba" ] } ], "mendeley" : { "formattedCitation" : "(Cumming and Peterson)", "manualFormatting" : " Cumming and Peterson,", "plainTextFormattedCitation" : "(Cumming and Peterson)", "previouslyFormattedCitation" : "(Cumming and Peterson)" }, "properties" : { "noteIndex" : 0 }, "schema" : "https://github.com/citation-style-language/schema/raw/master/csl-citation.json" }</w:instrText>
      </w:r>
      <w:r w:rsidR="00326673" w:rsidRPr="003355B8">
        <w:rPr>
          <w:rFonts w:ascii="Times New Roman" w:hAnsi="Times New Roman" w:cs="Times New Roman"/>
          <w:noProof/>
          <w:color w:val="auto"/>
          <w:sz w:val="20"/>
          <w:szCs w:val="24"/>
          <w:lang w:val="en-GB" w:eastAsia="de-DE"/>
        </w:rPr>
        <w:fldChar w:fldCharType="separate"/>
      </w:r>
      <w:r w:rsidR="00326673" w:rsidRPr="003355B8">
        <w:rPr>
          <w:rFonts w:ascii="Times New Roman" w:hAnsi="Times New Roman" w:cs="Times New Roman"/>
          <w:noProof/>
          <w:color w:val="auto"/>
          <w:sz w:val="20"/>
          <w:szCs w:val="24"/>
          <w:lang w:val="en-GB" w:eastAsia="de-DE"/>
        </w:rPr>
        <w:t xml:space="preserve"> Cumming and Peterson,</w:t>
      </w:r>
      <w:r w:rsidR="00326673" w:rsidRPr="003355B8">
        <w:rPr>
          <w:rFonts w:ascii="Times New Roman" w:hAnsi="Times New Roman" w:cs="Times New Roman"/>
          <w:noProof/>
          <w:color w:val="auto"/>
          <w:sz w:val="20"/>
          <w:szCs w:val="24"/>
          <w:lang w:val="en-GB" w:eastAsia="de-DE"/>
        </w:rPr>
        <w:fldChar w:fldCharType="end"/>
      </w:r>
      <w:r w:rsidR="00326673" w:rsidRPr="003355B8">
        <w:rPr>
          <w:rFonts w:ascii="Times New Roman" w:hAnsi="Times New Roman" w:cs="Times New Roman"/>
          <w:noProof/>
          <w:color w:val="auto"/>
          <w:sz w:val="20"/>
          <w:szCs w:val="24"/>
          <w:lang w:val="en-GB" w:eastAsia="de-DE"/>
        </w:rPr>
        <w:t xml:space="preserve"> 2017</w:t>
      </w:r>
      <w:r w:rsidR="00D05F23"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xml:space="preserve">. </w:t>
      </w:r>
      <w:r w:rsidR="004D4E7C" w:rsidRPr="003355B8">
        <w:rPr>
          <w:rFonts w:ascii="Times New Roman" w:hAnsi="Times New Roman" w:cs="Times New Roman"/>
          <w:color w:val="auto"/>
          <w:sz w:val="20"/>
          <w:szCs w:val="20"/>
        </w:rPr>
        <w:t xml:space="preserve">The term </w:t>
      </w:r>
      <w:r w:rsidR="004D4E7C" w:rsidRPr="003355B8">
        <w:rPr>
          <w:rFonts w:ascii="Times New Roman" w:hAnsi="Times New Roman" w:cs="Times New Roman"/>
          <w:iCs/>
          <w:color w:val="auto"/>
          <w:sz w:val="20"/>
          <w:szCs w:val="20"/>
        </w:rPr>
        <w:t>coupled infrastructure systems</w:t>
      </w:r>
      <w:r w:rsidR="004D4E7C" w:rsidRPr="003355B8">
        <w:rPr>
          <w:rFonts w:ascii="Times New Roman" w:hAnsi="Times New Roman" w:cs="Times New Roman"/>
          <w:color w:val="auto"/>
          <w:sz w:val="20"/>
          <w:szCs w:val="20"/>
        </w:rPr>
        <w:t xml:space="preserve"> (CISs) has been introduced to generalize the notions of coupled natural-human systems (CNH</w:t>
      </w:r>
      <w:r w:rsidR="00192F4D" w:rsidRPr="003355B8">
        <w:rPr>
          <w:rFonts w:ascii="Times New Roman" w:hAnsi="Times New Roman" w:cs="Times New Roman"/>
          <w:color w:val="auto"/>
          <w:sz w:val="20"/>
          <w:szCs w:val="20"/>
        </w:rPr>
        <w:t>S</w:t>
      </w:r>
      <w:r w:rsidR="004D4E7C" w:rsidRPr="003355B8">
        <w:rPr>
          <w:rFonts w:ascii="Times New Roman" w:hAnsi="Times New Roman" w:cs="Times New Roman"/>
          <w:color w:val="auto"/>
          <w:sz w:val="20"/>
          <w:szCs w:val="20"/>
        </w:rPr>
        <w:t xml:space="preserve">s) and social-ecological systems (SESs); in this context, </w:t>
      </w:r>
      <w:r w:rsidR="004D4E7C" w:rsidRPr="003355B8">
        <w:rPr>
          <w:rFonts w:ascii="Times New Roman" w:hAnsi="Times New Roman" w:cs="Times New Roman"/>
          <w:i/>
          <w:color w:val="auto"/>
          <w:sz w:val="20"/>
          <w:szCs w:val="20"/>
        </w:rPr>
        <w:t xml:space="preserve">infrastructure </w:t>
      </w:r>
      <w:r w:rsidR="004D4E7C" w:rsidRPr="003355B8">
        <w:rPr>
          <w:rFonts w:ascii="Times New Roman" w:hAnsi="Times New Roman" w:cs="Times New Roman"/>
          <w:color w:val="auto"/>
          <w:sz w:val="20"/>
          <w:szCs w:val="20"/>
        </w:rPr>
        <w:t xml:space="preserve">is broadly defined to include human-made, social, and natural infrastructure (see, e.g., </w:t>
      </w:r>
      <w:proofErr w:type="spellStart"/>
      <w:r w:rsidR="004D4E7C" w:rsidRPr="003355B8">
        <w:rPr>
          <w:rFonts w:ascii="Times New Roman" w:hAnsi="Times New Roman" w:cs="Times New Roman"/>
          <w:color w:val="auto"/>
          <w:sz w:val="20"/>
          <w:szCs w:val="20"/>
        </w:rPr>
        <w:t>Anderies</w:t>
      </w:r>
      <w:proofErr w:type="spellEnd"/>
      <w:r w:rsidR="004D4E7C" w:rsidRPr="003355B8">
        <w:rPr>
          <w:rFonts w:ascii="Times New Roman" w:hAnsi="Times New Roman" w:cs="Times New Roman"/>
          <w:color w:val="auto"/>
          <w:sz w:val="20"/>
          <w:szCs w:val="20"/>
        </w:rPr>
        <w:t xml:space="preserve"> et al., 2016). </w:t>
      </w:r>
      <w:r w:rsidRPr="003355B8">
        <w:rPr>
          <w:rFonts w:ascii="Times New Roman" w:hAnsi="Times New Roman" w:cs="Times New Roman"/>
          <w:color w:val="auto"/>
          <w:sz w:val="20"/>
          <w:szCs w:val="24"/>
          <w:lang w:val="en-GB" w:eastAsia="de-DE"/>
        </w:rPr>
        <w:t xml:space="preserve">The problem is that these CISs are complex and thus identifying thresholds and potential regime shifts associated with those thresholds </w:t>
      </w:r>
      <w:r w:rsidR="0082730D" w:rsidRPr="003355B8">
        <w:rPr>
          <w:rFonts w:ascii="Times New Roman" w:hAnsi="Times New Roman" w:cs="Times New Roman"/>
          <w:color w:val="auto"/>
          <w:sz w:val="20"/>
          <w:szCs w:val="24"/>
          <w:lang w:val="en-GB" w:eastAsia="de-DE"/>
        </w:rPr>
        <w:t>is</w:t>
      </w:r>
      <w:r w:rsidRPr="003355B8">
        <w:rPr>
          <w:rFonts w:ascii="Times New Roman" w:hAnsi="Times New Roman" w:cs="Times New Roman"/>
          <w:color w:val="auto"/>
          <w:sz w:val="20"/>
          <w:szCs w:val="24"/>
          <w:lang w:val="en-GB" w:eastAsia="de-DE"/>
        </w:rPr>
        <w:t xml:space="preserve"> ofte</w:t>
      </w:r>
      <w:r w:rsidR="005920F6" w:rsidRPr="003355B8">
        <w:rPr>
          <w:rFonts w:ascii="Times New Roman" w:hAnsi="Times New Roman" w:cs="Times New Roman"/>
          <w:color w:val="auto"/>
          <w:sz w:val="20"/>
          <w:szCs w:val="24"/>
          <w:lang w:val="en-GB" w:eastAsia="de-DE"/>
        </w:rPr>
        <w:t>n difficult, if not impossible.</w:t>
      </w:r>
      <w:r w:rsidRPr="003355B8">
        <w:rPr>
          <w:rFonts w:ascii="Times New Roman" w:hAnsi="Times New Roman" w:cs="Times New Roman"/>
          <w:color w:val="auto"/>
          <w:sz w:val="20"/>
          <w:szCs w:val="24"/>
          <w:lang w:val="en-GB" w:eastAsia="de-DE"/>
        </w:rPr>
        <w:t xml:space="preserve"> </w:t>
      </w:r>
      <w:bookmarkStart w:id="1" w:name="_Hlk510709759"/>
      <w:r w:rsidR="00263404" w:rsidRPr="003355B8">
        <w:rPr>
          <w:rFonts w:ascii="Times New Roman" w:hAnsi="Times New Roman" w:cs="Times New Roman"/>
          <w:color w:val="auto"/>
          <w:sz w:val="20"/>
          <w:szCs w:val="24"/>
          <w:lang w:val="en-GB" w:eastAsia="de-DE"/>
        </w:rPr>
        <w:t>In many cases,</w:t>
      </w:r>
      <w:r w:rsidR="00DF0587" w:rsidRPr="003355B8">
        <w:rPr>
          <w:rFonts w:ascii="Times New Roman" w:hAnsi="Times New Roman" w:cs="Times New Roman"/>
          <w:color w:val="auto"/>
          <w:sz w:val="20"/>
          <w:szCs w:val="24"/>
          <w:lang w:val="en-GB" w:eastAsia="de-DE"/>
        </w:rPr>
        <w:t xml:space="preserve"> major aspects of resilience in </w:t>
      </w:r>
      <w:r w:rsidR="00A07EBC" w:rsidRPr="003355B8">
        <w:rPr>
          <w:rFonts w:ascii="Times New Roman" w:hAnsi="Times New Roman" w:cs="Times New Roman"/>
          <w:color w:val="auto"/>
          <w:sz w:val="20"/>
          <w:szCs w:val="24"/>
          <w:lang w:val="en-GB" w:eastAsia="de-DE"/>
        </w:rPr>
        <w:t xml:space="preserve">CISs </w:t>
      </w:r>
      <w:r w:rsidR="00DF0587" w:rsidRPr="003355B8">
        <w:rPr>
          <w:rFonts w:ascii="Times New Roman" w:hAnsi="Times New Roman" w:cs="Times New Roman"/>
          <w:color w:val="auto"/>
          <w:sz w:val="20"/>
          <w:szCs w:val="24"/>
          <w:lang w:val="en-GB" w:eastAsia="de-DE"/>
        </w:rPr>
        <w:t>may not be directly observable and must be actualized indirectly via surrogate attributes</w:t>
      </w:r>
      <w:r w:rsidR="00263404"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"10.1007/s10021-005-0170-y", "ISBN" : "1432-9840", "ISSN" : "14329840", "PMID" : "732202", "abstract" : "From its roots in ecology, resilience (Holling 1973) has more recently been applied to social\u2013ecological systems, or SES. Theories of changing resilience explicitly address the persistence or breakdown of diverse states of complex systems (Gunderson and Holling 2002). These ideas have attracted interest from interdisciplinary research groups interested in change, conservation or restoration of SES (Berkes and others 2003; Scheffer and others 2003). From a practical standpoint, resilience theory provides a conceptual foundation for sustainable development (Folke and others 2002). The transition from theory to practice, however, requires assessment or estimation of resilience (Carpenter and others 2001). So far, there is little experience with estimating resilience of SES, and little understanding of the sensitivity of resilience measures to changes in SES. This shortage of practical field experience is a barrier to building understanding through empirical study of resilience in SES.", "author" : [ { "dropping-particle" : "", "family" : "Carpenter", "given" : "Stephen R.", "non-dropping-particle" : "", "parse-names" : false, "suffix" : "" }, { "dropping-particle" : "", "family" : "Westley", "given" : "Frances", "non-dropping-particle" : "", "parse-names" : false, "suffix" : "" }, { "dropping-particle" : "", "family" : "Turner", "given" : "Monica G.", "non-dropping-particle" : "", "parse-names" : false, "suffix" : "" } ], "container-title" : "Ecosystems", "id" : "ITEM-1", "issue" : "8", "issued" : { "date-parts" : [ [ "2005" ] ] }, "page" : "941-944", "title" : "Surrogates for resilience of social-ecological systems", "type" : "article", "volume" : "8" }, "uris" : [ "http://www.mendeley.com/documents/?uuid=8c386280-00ad-4fd1-b829-794619419e5d" ] } ], "mendeley" : { "formattedCitation" : "(Stephen R. Carpenter, Westley, et al.)", "manualFormatting" : "Carpenter et al., 2005; Kerner and Thomas, 2014)", "plainTextFormattedCitation" : "(Stephen R. Carpenter, Westley, et al.)", "previouslyFormattedCitation" : "(Stephen R. Carpenter, Westley,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Carpenter et al., 2005; Kerner and Thomas, 2014)</w:t>
      </w:r>
      <w:r w:rsidR="000E17FF" w:rsidRPr="003355B8">
        <w:rPr>
          <w:rStyle w:val="FootnoteReference"/>
          <w:rFonts w:ascii="Times New Roman" w:hAnsi="Times New Roman" w:cs="Times New Roman"/>
          <w:color w:val="auto"/>
          <w:sz w:val="20"/>
          <w:szCs w:val="24"/>
          <w:lang w:val="en-GB" w:eastAsia="de-DE"/>
        </w:rPr>
        <w:fldChar w:fldCharType="end"/>
      </w:r>
      <w:r w:rsidR="00DF0587" w:rsidRPr="003355B8">
        <w:rPr>
          <w:rFonts w:ascii="Times New Roman" w:hAnsi="Times New Roman" w:cs="Times New Roman"/>
          <w:color w:val="auto"/>
          <w:sz w:val="20"/>
          <w:szCs w:val="24"/>
          <w:lang w:val="en-GB" w:eastAsia="de-DE"/>
        </w:rPr>
        <w:t xml:space="preserve">. </w:t>
      </w:r>
      <w:bookmarkEnd w:id="1"/>
      <w:r w:rsidR="00106A3D" w:rsidRPr="003355B8">
        <w:rPr>
          <w:rFonts w:ascii="Times New Roman" w:hAnsi="Times New Roman" w:cs="Times New Roman"/>
          <w:color w:val="auto"/>
          <w:sz w:val="20"/>
          <w:szCs w:val="24"/>
          <w:lang w:val="en-GB" w:eastAsia="de-DE"/>
        </w:rPr>
        <w:t>R</w:t>
      </w:r>
      <w:r w:rsidR="00B54758" w:rsidRPr="003355B8">
        <w:rPr>
          <w:rFonts w:ascii="Times New Roman" w:hAnsi="Times New Roman" w:cs="Times New Roman"/>
          <w:color w:val="auto"/>
          <w:sz w:val="20"/>
          <w:szCs w:val="24"/>
          <w:lang w:val="en-GB" w:eastAsia="de-DE"/>
        </w:rPr>
        <w:t>ecent significant advances have been made toward identifying</w:t>
      </w:r>
      <w:r w:rsidR="00B54758" w:rsidRPr="003355B8" w:rsidDel="00B54758">
        <w:rPr>
          <w:rFonts w:ascii="Times New Roman" w:hAnsi="Times New Roman" w:cs="Times New Roman"/>
          <w:color w:val="auto"/>
          <w:sz w:val="20"/>
          <w:szCs w:val="24"/>
          <w:lang w:val="en-GB" w:eastAsia="de-DE"/>
        </w:rPr>
        <w:t xml:space="preserve"> </w:t>
      </w:r>
      <w:r w:rsidR="00DF0587" w:rsidRPr="003355B8">
        <w:rPr>
          <w:rFonts w:ascii="Times New Roman" w:hAnsi="Times New Roman" w:cs="Times New Roman"/>
          <w:color w:val="auto"/>
          <w:sz w:val="20"/>
          <w:szCs w:val="24"/>
          <w:lang w:val="en-GB" w:eastAsia="de-DE"/>
        </w:rPr>
        <w:t xml:space="preserve">early-warning signals that indicate </w:t>
      </w:r>
      <w:r w:rsidR="00B54758" w:rsidRPr="003355B8">
        <w:rPr>
          <w:rFonts w:ascii="Times New Roman" w:hAnsi="Times New Roman" w:cs="Times New Roman"/>
          <w:color w:val="auto"/>
          <w:sz w:val="20"/>
          <w:szCs w:val="24"/>
          <w:lang w:val="en-GB" w:eastAsia="de-DE"/>
        </w:rPr>
        <w:t>whether</w:t>
      </w:r>
      <w:r w:rsidR="00DF0587" w:rsidRPr="003355B8">
        <w:rPr>
          <w:rFonts w:ascii="Times New Roman" w:hAnsi="Times New Roman" w:cs="Times New Roman"/>
          <w:color w:val="auto"/>
          <w:sz w:val="20"/>
          <w:szCs w:val="24"/>
          <w:lang w:val="en-GB" w:eastAsia="de-DE"/>
        </w:rPr>
        <w:t xml:space="preserve"> a critical threshold </w:t>
      </w:r>
      <w:r w:rsidR="000A4940" w:rsidRPr="003355B8">
        <w:rPr>
          <w:rFonts w:ascii="Times New Roman" w:hAnsi="Times New Roman" w:cs="Times New Roman"/>
          <w:color w:val="auto"/>
          <w:sz w:val="20"/>
          <w:szCs w:val="24"/>
          <w:lang w:val="en-GB" w:eastAsia="de-DE"/>
        </w:rPr>
        <w:t xml:space="preserve">is being approached for a wide class of systems </w:t>
      </w:r>
      <w:r w:rsidR="00B54758" w:rsidRPr="003355B8">
        <w:rPr>
          <w:rFonts w:ascii="Times New Roman" w:hAnsi="Times New Roman" w:cs="Times New Roman"/>
          <w:color w:val="auto"/>
          <w:sz w:val="20"/>
          <w:szCs w:val="24"/>
          <w:lang w:val="en-GB" w:eastAsia="de-DE"/>
        </w:rPr>
        <w:t>(</w:t>
      </w:r>
      <w:proofErr w:type="spellStart"/>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"10.1038/nature08227", "ISSN" : "0028-0836", "abstract" : "Many complex systems, ranging from ecosystems to financial markets and the climate, can have critical thresholds or tipping points where a sudden shift from one stable state to a contrasting regime may occur. Predicting such critical points before they are reached is extremely difficult, but work in different fields of science is now suggesting the existence of generic early warning signals that may indicate for a wide class of systems if a critical threshold is approaching. Scheffer et al. conclude their review of this work optimistically: in situations where the existence of a critical transition is suspected, the generic character of the warning signs suggests that they may provide valuable information on whether the probability of a major event is increasing.", "author" : [ { "dropping-particle" : "", "family" : "Scheffer", "given" : "Marten", "non-dropping-particle" : "", "parse-names" : false, "suffix" : "" }, { "dropping-particle" : "", "family" : "Bascompte", "given" : "Jordi", "non-dropping-particle" : "", "parse-names" : false, "suffix" : "" }, { "dropping-particle" : "", "family" : "Brock", "given" : "William A.", "non-dropping-particle" : "", "parse-names" : false, "suffix" : "" }, { "dropping-particle" : "", "family" : "Brovkin", "given" : "Victor", "non-dropping-particle" : "", "parse-names" : false, "suffix" : "" }, { "dropping-particle" : "", "family" : "Carpenter", "given" : "Stephen R.", "non-dropping-particle" : "", "parse-names" : false, "suffix" : "" }, { "dropping-particle" : "", "family" : "Dakos", "given" : "Vasilis", "non-dropping-particle" : "", "parse-names" : false, "suffix" : "" }, { "dropping-particle" : "", "family" : "Held", "given" : "Hermann", "non-dropping-particle" : "", "parse-names" : false, "suffix" : "" }, { "dropping-particle" : "", "family" : "Nes", "given" : "Egbert H.", "non-dropping-particle" : "van", "parse-names" : false, "suffix" : "" }, { "dropping-particle" : "", "family" : "Rietkerk", "given" : "Max", "non-dropping-particle" : "", "parse-names" : false, "suffix" : "" }, { "dropping-particle" : "", "family" : "Sugihara", "given" : "George", "non-dropping-particle" : "", "parse-names" : false, "suffix" : "" } ], "container-title" : "Nature", "id" : "ITEM-1", "issue" : "7260", "issued" : { "date-parts" : [ [ "2009", "9", "3" ] ] }, "page" : "53-59", "publisher" : "Nature Publishing Group", "title" : "Early-warning signals for critical transitions", "type" : "article-journal", "volume" : "461" }, "uris" : [ "http://www.mendeley.com/documents/?uuid=bd606ab9-37b5-353e-9fb4-aaa1d8c88afd" ] } ], "mendeley" : { "formattedCitation" : "(Scheffer, Bascompte, et al.)", "manualFormatting" : "Scheffer et al., 2009", "plainTextFormattedCitation" : "(Scheffer, Bascompte, et al.)", "previouslyFormattedCitation" : "(Scheffer, Bascompte,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Scheffer</w:t>
      </w:r>
      <w:proofErr w:type="spellEnd"/>
      <w:r w:rsidR="000E17FF" w:rsidRPr="003355B8">
        <w:rPr>
          <w:rFonts w:ascii="Times New Roman" w:hAnsi="Times New Roman" w:cs="Times New Roman"/>
          <w:noProof/>
          <w:color w:val="auto"/>
          <w:sz w:val="20"/>
          <w:szCs w:val="24"/>
          <w:lang w:val="en-GB" w:eastAsia="de-DE"/>
        </w:rPr>
        <w:t xml:space="preserve"> et al., 2009</w:t>
      </w:r>
      <w:r w:rsidR="000E17FF" w:rsidRPr="003355B8">
        <w:rPr>
          <w:rStyle w:val="FootnoteReference"/>
          <w:rFonts w:ascii="Times New Roman" w:hAnsi="Times New Roman" w:cs="Times New Roman"/>
          <w:color w:val="auto"/>
          <w:sz w:val="20"/>
          <w:szCs w:val="24"/>
          <w:lang w:val="en-GB" w:eastAsia="de-DE"/>
        </w:rPr>
        <w:fldChar w:fldCharType="end"/>
      </w:r>
      <w:r w:rsidR="00BB2E1A" w:rsidRPr="003355B8">
        <w:rPr>
          <w:rFonts w:ascii="Times New Roman" w:hAnsi="Times New Roman" w:cs="Times New Roman"/>
          <w:color w:val="auto"/>
          <w:sz w:val="20"/>
          <w:szCs w:val="24"/>
          <w:lang w:val="en-GB" w:eastAsia="de-DE"/>
        </w:rPr>
        <w:t xml:space="preserve"> and</w:t>
      </w:r>
      <w:r w:rsidR="00B54758" w:rsidRPr="003355B8">
        <w:rPr>
          <w:rFonts w:ascii="Times New Roman" w:hAnsi="Times New Roman" w:cs="Times New Roman"/>
          <w:color w:val="auto"/>
          <w:sz w:val="20"/>
          <w:szCs w:val="24"/>
          <w:lang w:val="en-GB" w:eastAsia="de-DE"/>
        </w:rPr>
        <w:t xml:space="preserve"> 2012)</w:t>
      </w:r>
      <w:r w:rsidR="00DF0587" w:rsidRPr="003355B8">
        <w:rPr>
          <w:rFonts w:ascii="Times New Roman" w:hAnsi="Times New Roman" w:cs="Times New Roman"/>
          <w:color w:val="auto"/>
          <w:sz w:val="20"/>
          <w:szCs w:val="24"/>
          <w:lang w:val="en-GB" w:eastAsia="de-DE"/>
        </w:rPr>
        <w:t xml:space="preserve">. </w:t>
      </w:r>
      <w:r w:rsidR="00B54758" w:rsidRPr="003355B8">
        <w:rPr>
          <w:rFonts w:ascii="Times New Roman" w:hAnsi="Times New Roman" w:cs="Times New Roman"/>
          <w:color w:val="auto"/>
          <w:sz w:val="20"/>
          <w:szCs w:val="24"/>
          <w:lang w:val="en-GB" w:eastAsia="de-DE"/>
        </w:rPr>
        <w:t>Still, t</w:t>
      </w:r>
      <w:r w:rsidR="00DF0587" w:rsidRPr="003355B8">
        <w:rPr>
          <w:rFonts w:ascii="Times New Roman" w:hAnsi="Times New Roman" w:cs="Times New Roman"/>
          <w:color w:val="auto"/>
          <w:sz w:val="20"/>
          <w:szCs w:val="24"/>
          <w:lang w:val="en-GB" w:eastAsia="de-DE"/>
        </w:rPr>
        <w:t xml:space="preserve">here are gaps in our understanding of how indicators of resilience and robustness will behave in more complex situations. This lack of </w:t>
      </w:r>
      <w:r w:rsidR="000A4940" w:rsidRPr="003355B8">
        <w:rPr>
          <w:rFonts w:ascii="Times New Roman" w:hAnsi="Times New Roman" w:cs="Times New Roman"/>
          <w:color w:val="auto"/>
          <w:sz w:val="20"/>
          <w:szCs w:val="24"/>
          <w:lang w:val="en-GB" w:eastAsia="de-DE"/>
        </w:rPr>
        <w:t xml:space="preserve">a </w:t>
      </w:r>
      <w:r w:rsidR="00DF0587" w:rsidRPr="003355B8">
        <w:rPr>
          <w:rFonts w:ascii="Times New Roman" w:hAnsi="Times New Roman" w:cs="Times New Roman"/>
          <w:color w:val="auto"/>
          <w:sz w:val="20"/>
          <w:szCs w:val="24"/>
          <w:lang w:val="en-GB" w:eastAsia="de-DE"/>
        </w:rPr>
        <w:t xml:space="preserve">rigorous metric </w:t>
      </w:r>
      <w:r w:rsidR="000A4940" w:rsidRPr="003355B8">
        <w:rPr>
          <w:rFonts w:ascii="Times New Roman" w:hAnsi="Times New Roman" w:cs="Times New Roman"/>
          <w:color w:val="auto"/>
          <w:sz w:val="20"/>
          <w:szCs w:val="24"/>
          <w:lang w:val="en-GB" w:eastAsia="de-DE"/>
        </w:rPr>
        <w:t>for</w:t>
      </w:r>
      <w:r w:rsidR="00DF0587" w:rsidRPr="003355B8">
        <w:rPr>
          <w:rFonts w:ascii="Times New Roman" w:hAnsi="Times New Roman" w:cs="Times New Roman"/>
          <w:color w:val="auto"/>
          <w:sz w:val="20"/>
          <w:szCs w:val="24"/>
          <w:lang w:val="en-GB" w:eastAsia="de-DE"/>
        </w:rPr>
        <w:t xml:space="preserve"> resilience makes the investigation into their connections, interplay, and trade</w:t>
      </w:r>
      <w:r w:rsidR="00090F3A" w:rsidRPr="003355B8">
        <w:rPr>
          <w:rFonts w:ascii="Times New Roman" w:hAnsi="Times New Roman" w:cs="Times New Roman"/>
          <w:color w:val="auto"/>
          <w:sz w:val="20"/>
          <w:szCs w:val="24"/>
          <w:lang w:val="en-GB" w:eastAsia="de-DE"/>
        </w:rPr>
        <w:t>-</w:t>
      </w:r>
      <w:r w:rsidR="00DF0587" w:rsidRPr="003355B8">
        <w:rPr>
          <w:rFonts w:ascii="Times New Roman" w:hAnsi="Times New Roman" w:cs="Times New Roman"/>
          <w:color w:val="auto"/>
          <w:sz w:val="20"/>
          <w:szCs w:val="24"/>
          <w:lang w:val="en-GB" w:eastAsia="de-DE"/>
        </w:rPr>
        <w:t>offs with robustness and performance impossible.</w:t>
      </w:r>
    </w:p>
    <w:p w14:paraId="28D6A3E7" w14:textId="1C5F91CC" w:rsidR="00A10D81" w:rsidRPr="003355B8" w:rsidRDefault="004A25E8" w:rsidP="00805E39">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But these knowledge gaps need to be filled if one wishes to make advances in understanding the interplay between social dynamics and planetary boundaries. Given the magnitude of impacts that human activities have on pushing Earth systems toward their planetary boundaries, we need clearer understanding of how social and biophysical factors come together to define the nature of these boundaries. This paper is a step in that direction. In particular, we will </w:t>
      </w:r>
      <w:r w:rsidRPr="003355B8">
        <w:rPr>
          <w:rFonts w:ascii="Times New Roman" w:hAnsi="Times New Roman" w:cs="Times New Roman"/>
          <w:color w:val="auto"/>
          <w:sz w:val="20"/>
          <w:szCs w:val="24"/>
          <w:lang w:val="en-GB" w:eastAsia="de-DE"/>
        </w:rPr>
        <w:lastRenderedPageBreak/>
        <w:t xml:space="preserve">build on recent work that mathematically operationalizes the </w:t>
      </w:r>
      <w:r w:rsidR="00C74578" w:rsidRPr="003355B8">
        <w:rPr>
          <w:rFonts w:ascii="Times New Roman" w:hAnsi="Times New Roman" w:cs="Times New Roman"/>
          <w:color w:val="auto"/>
          <w:sz w:val="20"/>
          <w:szCs w:val="24"/>
          <w:lang w:val="en-GB" w:eastAsia="de-DE"/>
        </w:rPr>
        <w:t xml:space="preserve">Robustness of </w:t>
      </w:r>
      <w:r w:rsidRPr="003355B8">
        <w:rPr>
          <w:rFonts w:ascii="Times New Roman" w:hAnsi="Times New Roman" w:cs="Times New Roman"/>
          <w:color w:val="auto"/>
          <w:sz w:val="20"/>
          <w:szCs w:val="24"/>
          <w:lang w:val="en-GB" w:eastAsia="de-DE"/>
        </w:rPr>
        <w:t>SES framework</w:t>
      </w:r>
      <w:r w:rsidR="00C74578"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"author" : [ { "dropping-particle" : "", "family" : "Anderies", "given" : "J", "non-dropping-particle" : "", "parse-names" : false, "suffix" : "" }, { "dropping-particle" : "", "family" : "Janssen", "given" : "M", "non-dropping-particle" : "", "parse-names" : false, "suffix" : "" }, { "dropping-particle" : "", "family" : "Ostrom", "given" : "E", "non-dropping-particle" : "", "parse-names" : false, "suffix" : "" } ], "container-title" : "Ecology and society", "id" : "ITEM-1", "issued" : { "date-parts" : [ [ "2004" ] ] }, "title" : "A framework to analyze the robustness of social-ecological systems from an institutional perspective", "type" : "article-journal" }, "uris" : [ "http://www.mendeley.com/documents/?uuid=1fb586b4-f40a-3b47-a695-d09e7f8c33e5" ] } ], "mendeley" : { "formattedCitation" : "(J. Anderies et al.)", "manualFormatting" : "(Anderies et al., 2004)", "plainTextFormattedCitation" : "(J. Anderies et al.)", "previouslyFormattedCitation" : "(J. Anderies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(Anderies et al., 2004)</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into a formal stylized dynamical model (</w:t>
      </w:r>
      <w:proofErr w:type="spellStart"/>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"10.1002/2017EF000562", "ISSN" : "23284277", "author" : [ { "dropping-particle" : "", "family" : "Muneepeerakul", "given" : "Rachata", "non-dropping-particle" : "", "parse-names" : false, "suffix" : "" }, { "dropping-particle" : "", "family" : "Anderies", "given" : "John M.", "non-dropping-particle" : "", "parse-names" : false, "suffix" : "" } ], "container-title" : "Earth's Future", "id" : "ITEM-1", "issue" : "8", "issued" : { "date-parts" : [ [ "2017", "8", "1" ] ] }, "page" : "865-876", "publisher" : "Wiley Periodicals, Inc.", "title" : "Strategic behaviors and governance challenges in social-ecological systems", "type" : "article-journal", "volume" : "5" }, "uris" : [ "http://www.mendeley.com/documents/?uuid=47bc3b3d-f4be-3cc5-a88e-78968dc05228" ] } ], "mendeley" : { "formattedCitation" : "(Muneepeerakul and Anderies)", "manualFormatting" : "Muneepeerakul and Anderies, 2017)", "plainTextFormattedCitation" : "(Muneepeerakul and Anderies)", "previouslyFormattedCitation" : "(Muneepeerakul and Anderies)"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Muneepeerakul</w:t>
      </w:r>
      <w:proofErr w:type="spellEnd"/>
      <w:r w:rsidR="000E17FF" w:rsidRPr="003355B8">
        <w:rPr>
          <w:rFonts w:ascii="Times New Roman" w:hAnsi="Times New Roman" w:cs="Times New Roman"/>
          <w:noProof/>
          <w:color w:val="auto"/>
          <w:sz w:val="20"/>
          <w:szCs w:val="24"/>
          <w:lang w:val="en-GB" w:eastAsia="de-DE"/>
        </w:rPr>
        <w:t xml:space="preserve"> and Anderies,</w:t>
      </w:r>
      <w:bookmarkStart w:id="2" w:name="_GoBack"/>
      <w:bookmarkEnd w:id="2"/>
      <w:r w:rsidR="000E17FF" w:rsidRPr="003355B8">
        <w:rPr>
          <w:rFonts w:ascii="Times New Roman" w:hAnsi="Times New Roman" w:cs="Times New Roman"/>
          <w:noProof/>
          <w:color w:val="auto"/>
          <w:sz w:val="20"/>
          <w:szCs w:val="24"/>
          <w:lang w:val="en-GB" w:eastAsia="de-DE"/>
        </w:rPr>
        <w:t xml:space="preserve"> 2017)</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We will exploit the relative simplicity of the model to rigorously define robustness and resilience of the coupled system. The </w:t>
      </w:r>
      <w:r w:rsidR="004838C1" w:rsidRPr="003355B8">
        <w:rPr>
          <w:rFonts w:ascii="Times New Roman" w:hAnsi="Times New Roman" w:cs="Times New Roman"/>
          <w:color w:val="auto"/>
          <w:sz w:val="20"/>
          <w:szCs w:val="24"/>
          <w:lang w:val="en-GB" w:eastAsia="de-DE"/>
        </w:rPr>
        <w:t>modelled</w:t>
      </w:r>
      <w:r w:rsidRPr="003355B8">
        <w:rPr>
          <w:rFonts w:ascii="Times New Roman" w:hAnsi="Times New Roman" w:cs="Times New Roman"/>
          <w:color w:val="auto"/>
          <w:sz w:val="20"/>
          <w:szCs w:val="24"/>
          <w:lang w:val="en-GB" w:eastAsia="de-DE"/>
        </w:rPr>
        <w:t xml:space="preserve"> system will be subject to fluctuations in external drivers, which will affect the well-defined robustness and resilience, thereby enabling us to investigate the interplay and trade</w:t>
      </w:r>
      <w:r w:rsidR="00C52214"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offs between these important properties, as well as how the nature of the interplay and trade</w:t>
      </w:r>
      <w:r w:rsidR="00C52214"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offs are affected by policies implemented by social agents.</w:t>
      </w:r>
    </w:p>
    <w:p w14:paraId="4D5A907C" w14:textId="77777777" w:rsidR="004A25E8" w:rsidRPr="003355B8" w:rsidRDefault="004A25E8" w:rsidP="0062109B">
      <w:pPr>
        <w:pStyle w:val="Heading1"/>
        <w:keepLines w:val="0"/>
        <w:numPr>
          <w:ilvl w:val="0"/>
          <w:numId w:val="31"/>
        </w:numPr>
        <w:spacing w:after="240" w:line="240" w:lineRule="auto"/>
        <w:ind w:left="180" w:hanging="180"/>
        <w:jc w:val="both"/>
        <w:rPr>
          <w:rFonts w:ascii="Times New Roman" w:hAnsi="Times New Roman" w:cs="Arial"/>
          <w:bCs/>
          <w:color w:val="auto"/>
          <w:kern w:val="32"/>
          <w:sz w:val="20"/>
          <w:szCs w:val="32"/>
          <w:lang w:val="en-GB" w:eastAsia="de-DE"/>
        </w:rPr>
      </w:pPr>
      <w:r w:rsidRPr="003355B8">
        <w:rPr>
          <w:rFonts w:ascii="Times New Roman" w:hAnsi="Times New Roman" w:cs="Arial"/>
          <w:bCs/>
          <w:color w:val="auto"/>
          <w:kern w:val="32"/>
          <w:sz w:val="20"/>
          <w:szCs w:val="32"/>
          <w:lang w:val="en-GB" w:eastAsia="de-DE"/>
        </w:rPr>
        <w:t>Methods</w:t>
      </w:r>
    </w:p>
    <w:p w14:paraId="2665CE66" w14:textId="6856963A" w:rsidR="004A25E8" w:rsidRPr="003355B8" w:rsidRDefault="004A25E8" w:rsidP="007133B5">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Here we </w:t>
      </w:r>
      <w:r w:rsidR="00A56ACE" w:rsidRPr="003355B8">
        <w:rPr>
          <w:rFonts w:ascii="Times New Roman" w:hAnsi="Times New Roman" w:cs="Times New Roman"/>
          <w:color w:val="auto"/>
          <w:sz w:val="20"/>
          <w:szCs w:val="24"/>
          <w:lang w:val="en-GB" w:eastAsia="de-DE"/>
        </w:rPr>
        <w:t>analyse</w:t>
      </w:r>
      <w:r w:rsidRPr="003355B8">
        <w:rPr>
          <w:rFonts w:ascii="Times New Roman" w:hAnsi="Times New Roman" w:cs="Times New Roman"/>
          <w:color w:val="auto"/>
          <w:sz w:val="20"/>
          <w:szCs w:val="24"/>
          <w:lang w:val="en-GB" w:eastAsia="de-DE"/>
        </w:rPr>
        <w:t xml:space="preserve"> a mathematical model developed by </w:t>
      </w:r>
      <w:r w:rsidR="000E17FF" w:rsidRPr="003355B8">
        <w:rPr>
          <w:rStyle w:val="FootnoteReference"/>
          <w:rFonts w:ascii="Times New Roman" w:hAnsi="Times New Roman" w:cs="Times New Roman"/>
          <w:color w:val="auto"/>
          <w:sz w:val="20"/>
          <w:szCs w:val="24"/>
          <w:lang w:val="en-GB" w:eastAsia="de-DE"/>
        </w:rPr>
        <w:fldChar w:fldCharType="begin" w:fldLock="1"/>
      </w:r>
      <w:r w:rsidR="00A55241">
        <w:rPr>
          <w:rFonts w:ascii="Times New Roman" w:hAnsi="Times New Roman" w:cs="Times New Roman"/>
          <w:color w:val="auto"/>
          <w:sz w:val="20"/>
          <w:szCs w:val="24"/>
          <w:lang w:val="en-GB" w:eastAsia="de-DE"/>
        </w:rPr>
        <w:instrText>ADDIN CSL_CITATION { "citationItems" : [ { "id" : "ITEM-1", "itemData" : { "DOI" : "10.1002/2017EF000562", "ISSN" : "23284277", "author" : [ { "dropping-particle" : "", "family" : "Muneepeerakul", "given" : "Rachata", "non-dropping-particle" : "", "parse-names" : false, "suffix" : "" }, { "dropping-particle" : "", "family" : "Anderies", "given" : "John M.", "non-dropping-particle" : "", "parse-names" : false, "suffix" : "" } ], "container-title" : "Earth's Future", "id" : "ITEM-1", "issue" : "8", "issued" : { "date-parts" : [ [ "2017", "8", "1" ] ] }, "page" : "865-876", "publisher" : "Wiley Periodicals, Inc.", "title" : "Strategic behaviors and governance challenges in social-ecological systems", "type" : "article-journal", "volume" : "5" }, "uris" : [ "http://www.mendeley.com/documents/?uuid=47bc3b3d-f4be-3cc5-a88e-78968dc05228" ] } ], "mendeley" : { "formattedCitation" : "(Muneepeerakul and Anderies)", "manualFormatting" : "Muneepeerakul and Anderies (2017)", "plainTextFormattedCitation" : "(Muneepeerakul and Anderies)", "previouslyFormattedCitation" : "(Muneepeerakul and Anderies)"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Muneepeerakul and Anderies (2017)</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by subjecting the coupled system to uncertainty in ecological and social factors.</w:t>
      </w:r>
      <w:r w:rsidR="00A03A3F" w:rsidRPr="003355B8">
        <w:rPr>
          <w:rFonts w:ascii="Times New Roman" w:hAnsi="Times New Roman" w:cs="Times New Roman"/>
          <w:color w:val="auto"/>
          <w:sz w:val="20"/>
          <w:szCs w:val="24"/>
          <w:lang w:val="en-GB" w:eastAsia="de-DE"/>
        </w:rPr>
        <w:t xml:space="preserve"> The model captures the essential features of a system in which a group of agents shares infrastructure</w:t>
      </w:r>
      <w:r w:rsidRPr="003355B8">
        <w:rPr>
          <w:rFonts w:ascii="Times New Roman" w:hAnsi="Times New Roman" w:cs="Times New Roman"/>
          <w:color w:val="auto"/>
          <w:sz w:val="20"/>
          <w:szCs w:val="24"/>
          <w:lang w:val="en-GB" w:eastAsia="de-DE"/>
        </w:rPr>
        <w:t xml:space="preserve"> </w:t>
      </w:r>
      <w:r w:rsidR="00A03A3F" w:rsidRPr="003355B8">
        <w:rPr>
          <w:rFonts w:ascii="Times New Roman" w:hAnsi="Times New Roman" w:cs="Times New Roman"/>
          <w:color w:val="auto"/>
          <w:sz w:val="20"/>
          <w:szCs w:val="24"/>
          <w:lang w:val="en-GB" w:eastAsia="de-DE"/>
        </w:rPr>
        <w:t>to produce valued flows.</w:t>
      </w:r>
      <w:r w:rsidRPr="003355B8">
        <w:rPr>
          <w:rFonts w:ascii="Times New Roman" w:hAnsi="Times New Roman" w:cs="Times New Roman"/>
          <w:color w:val="auto"/>
          <w:sz w:val="20"/>
          <w:szCs w:val="24"/>
          <w:lang w:val="en-GB" w:eastAsia="de-DE"/>
        </w:rPr>
        <w:t xml:space="preserve"> </w:t>
      </w:r>
      <w:bookmarkStart w:id="3" w:name="_Hlk511820937"/>
      <w:r w:rsidR="00B05569" w:rsidRPr="003355B8">
        <w:rPr>
          <w:rFonts w:ascii="Times New Roman" w:hAnsi="Times New Roman" w:cs="Times New Roman"/>
          <w:color w:val="auto"/>
          <w:sz w:val="20"/>
          <w:szCs w:val="24"/>
          <w:lang w:val="en-GB" w:eastAsia="de-DE"/>
        </w:rPr>
        <w:t xml:space="preserve">Such a system is the archetype of most, if not </w:t>
      </w:r>
      <w:proofErr w:type="gramStart"/>
      <w:r w:rsidR="00B05569" w:rsidRPr="003355B8">
        <w:rPr>
          <w:rFonts w:ascii="Times New Roman" w:hAnsi="Times New Roman" w:cs="Times New Roman"/>
          <w:color w:val="auto"/>
          <w:sz w:val="20"/>
          <w:szCs w:val="24"/>
          <w:lang w:val="en-GB" w:eastAsia="de-DE"/>
        </w:rPr>
        <w:t>all of</w:t>
      </w:r>
      <w:proofErr w:type="gramEnd"/>
      <w:r w:rsidR="00B05569" w:rsidRPr="003355B8">
        <w:rPr>
          <w:rFonts w:ascii="Times New Roman" w:hAnsi="Times New Roman" w:cs="Times New Roman"/>
          <w:color w:val="auto"/>
          <w:sz w:val="20"/>
          <w:szCs w:val="24"/>
          <w:lang w:val="en-GB" w:eastAsia="de-DE"/>
        </w:rPr>
        <w:t xml:space="preserve"> human sociality: groups produce infrastructure that they cannot produce individually (security, </w:t>
      </w:r>
      <w:r w:rsidR="00981F8A" w:rsidRPr="003355B8">
        <w:rPr>
          <w:rFonts w:ascii="Times New Roman" w:hAnsi="Times New Roman" w:cs="Times New Roman"/>
          <w:color w:val="auto"/>
          <w:sz w:val="20"/>
          <w:szCs w:val="24"/>
          <w:lang w:val="en-GB" w:eastAsia="de-DE"/>
        </w:rPr>
        <w:t>defence</w:t>
      </w:r>
      <w:r w:rsidR="00B05569" w:rsidRPr="003355B8">
        <w:rPr>
          <w:rFonts w:ascii="Times New Roman" w:hAnsi="Times New Roman" w:cs="Times New Roman"/>
          <w:color w:val="auto"/>
          <w:sz w:val="20"/>
          <w:szCs w:val="24"/>
          <w:lang w:val="en-GB" w:eastAsia="de-DE"/>
        </w:rPr>
        <w:t>, irrigation canals, roads, markets, financial systems, coordination mechanisms, etc.) that significantly increases productivity</w:t>
      </w:r>
      <w:bookmarkEnd w:id="3"/>
      <w:r w:rsidR="00B05569" w:rsidRPr="003355B8">
        <w:rPr>
          <w:rFonts w:ascii="Times New Roman" w:hAnsi="Times New Roman" w:cs="Times New Roman"/>
          <w:color w:val="auto"/>
          <w:sz w:val="20"/>
          <w:szCs w:val="24"/>
          <w:lang w:val="en-GB" w:eastAsia="de-DE"/>
        </w:rPr>
        <w:t>. The challenge is maintaining this shared infrastructure (e.g. decaying infrastructure is a major problem in the US at the time of writing (</w:t>
      </w:r>
      <w:bookmarkStart w:id="4" w:name="_Hlk510883226"/>
      <w:r w:rsidR="00787CC2" w:rsidRPr="003355B8">
        <w:rPr>
          <w:rFonts w:ascii="Times New Roman" w:hAnsi="Times New Roman" w:cs="Times New Roman"/>
          <w:noProof/>
          <w:color w:val="auto"/>
          <w:sz w:val="20"/>
          <w:szCs w:val="24"/>
          <w:lang w:val="en-GB" w:eastAsia="de-DE"/>
        </w:rPr>
        <w:fldChar w:fldCharType="begin" w:fldLock="1"/>
      </w:r>
      <w:r w:rsidR="0011373D" w:rsidRPr="003355B8">
        <w:rPr>
          <w:rFonts w:ascii="Times New Roman" w:hAnsi="Times New Roman" w:cs="Times New Roman"/>
          <w:noProof/>
          <w:color w:val="auto"/>
          <w:sz w:val="20"/>
          <w:szCs w:val="24"/>
          <w:lang w:val="en-GB" w:eastAsia="de-DE"/>
        </w:rPr>
        <w:instrText>ADDIN CSL_CITATION { "citationItems" : [ { "id" : "ITEM-1", "itemData" : { "ISBN" : "9781925015003", "id" : "ITEM-1", "issue" : "March", "issued" : { "date-parts" : [ [ "2013" ] ] }, "page" : "1-74", "title" : "March, 2013 1", "type" : "article-journal" }, "uris" : [ "http://www.mendeley.com/documents/?uuid=f8d7d388-7d14-4d69-8728-521ea7b52d77" ] } ], "mendeley" : { "formattedCitation" : "(&lt;i&gt;March, 2013 1&lt;/i&gt;)", "manualFormatting" : "ASCER CIA Advisory Council, 2013", "plainTextFormattedCitation" : "(March, 2013 1)", "previouslyFormattedCitation" : "(&lt;i&gt;March, 2013 1&lt;/i&gt;)" }, "properties" : { "noteIndex" : 0 }, "schema" : "https://github.com/citation-style-language/schema/raw/master/csl-citation.json" }</w:instrText>
      </w:r>
      <w:r w:rsidR="00787CC2" w:rsidRPr="003355B8">
        <w:rPr>
          <w:rFonts w:ascii="Times New Roman" w:hAnsi="Times New Roman" w:cs="Times New Roman"/>
          <w:noProof/>
          <w:color w:val="auto"/>
          <w:sz w:val="20"/>
          <w:szCs w:val="24"/>
          <w:lang w:val="en-GB" w:eastAsia="de-DE"/>
        </w:rPr>
        <w:fldChar w:fldCharType="separate"/>
      </w:r>
      <w:r w:rsidR="007133B5" w:rsidRPr="003355B8">
        <w:rPr>
          <w:rFonts w:ascii="Times New Roman" w:hAnsi="Times New Roman" w:cs="Times New Roman"/>
          <w:noProof/>
          <w:color w:val="auto"/>
          <w:sz w:val="20"/>
          <w:szCs w:val="24"/>
          <w:lang w:val="en-GB" w:eastAsia="de-DE"/>
        </w:rPr>
        <w:t xml:space="preserve">ASCER CIA Advisory Council, </w:t>
      </w:r>
      <w:r w:rsidR="00787CC2" w:rsidRPr="003355B8">
        <w:rPr>
          <w:rFonts w:ascii="Times New Roman" w:hAnsi="Times New Roman" w:cs="Times New Roman"/>
          <w:noProof/>
          <w:color w:val="auto"/>
          <w:sz w:val="20"/>
          <w:szCs w:val="24"/>
          <w:lang w:val="en-GB" w:eastAsia="de-DE"/>
        </w:rPr>
        <w:t>2013</w:t>
      </w:r>
      <w:r w:rsidR="00787CC2" w:rsidRPr="003355B8">
        <w:rPr>
          <w:rFonts w:ascii="Times New Roman" w:hAnsi="Times New Roman" w:cs="Times New Roman"/>
          <w:noProof/>
          <w:color w:val="auto"/>
          <w:sz w:val="20"/>
          <w:szCs w:val="24"/>
          <w:lang w:val="en-GB" w:eastAsia="de-DE"/>
        </w:rPr>
        <w:fldChar w:fldCharType="end"/>
      </w:r>
      <w:bookmarkEnd w:id="4"/>
      <w:r w:rsidR="00A8504D" w:rsidRPr="003355B8">
        <w:rPr>
          <w:rFonts w:ascii="Times New Roman" w:hAnsi="Times New Roman" w:cs="Times New Roman"/>
          <w:color w:val="auto"/>
          <w:sz w:val="20"/>
          <w:szCs w:val="24"/>
          <w:lang w:val="en-GB" w:eastAsia="de-DE"/>
        </w:rPr>
        <w:t>)</w:t>
      </w:r>
      <w:r w:rsidR="007133B5" w:rsidRPr="003355B8">
        <w:rPr>
          <w:rFonts w:ascii="Times New Roman" w:hAnsi="Times New Roman" w:cs="Times New Roman"/>
          <w:color w:val="auto"/>
          <w:sz w:val="20"/>
          <w:szCs w:val="24"/>
          <w:lang w:val="en-GB" w:eastAsia="de-DE"/>
        </w:rPr>
        <w:t xml:space="preserve">. </w:t>
      </w:r>
      <w:r w:rsidRPr="003355B8">
        <w:rPr>
          <w:rFonts w:ascii="Times New Roman" w:hAnsi="Times New Roman" w:cs="Times New Roman"/>
          <w:color w:val="auto"/>
          <w:sz w:val="20"/>
          <w:szCs w:val="24"/>
          <w:lang w:val="en-GB" w:eastAsia="de-DE"/>
        </w:rPr>
        <w:t>The model allows for mathematical definitions of the boundaries of policy domain that result in a sustainable system</w:t>
      </w:r>
      <w:r w:rsidR="00B05569" w:rsidRPr="003355B8">
        <w:rPr>
          <w:rFonts w:ascii="Times New Roman" w:hAnsi="Times New Roman" w:cs="Times New Roman"/>
          <w:color w:val="auto"/>
          <w:sz w:val="20"/>
          <w:szCs w:val="24"/>
          <w:lang w:val="en-GB" w:eastAsia="de-DE"/>
        </w:rPr>
        <w:t xml:space="preserve"> in which both human-made and natural infrastructure can be maintained over the long run</w:t>
      </w:r>
      <w:r w:rsidRPr="003355B8">
        <w:rPr>
          <w:rFonts w:ascii="Times New Roman" w:hAnsi="Times New Roman" w:cs="Times New Roman"/>
          <w:color w:val="auto"/>
          <w:sz w:val="20"/>
          <w:szCs w:val="24"/>
          <w:lang w:val="en-GB" w:eastAsia="de-DE"/>
        </w:rPr>
        <w:t xml:space="preserve">. Based on these boundaries and uncertainty in the exogenous factors, we define metrics of resilience and robustness associated with each policy choice and investigate the </w:t>
      </w:r>
      <w:r w:rsidR="00981F8A" w:rsidRPr="003355B8">
        <w:rPr>
          <w:rFonts w:ascii="Times New Roman" w:hAnsi="Times New Roman" w:cs="Times New Roman"/>
          <w:color w:val="auto"/>
          <w:sz w:val="20"/>
          <w:szCs w:val="24"/>
          <w:lang w:val="en-GB" w:eastAsia="de-DE"/>
        </w:rPr>
        <w:t>trade</w:t>
      </w:r>
      <w:r w:rsidR="002056CD" w:rsidRPr="003355B8">
        <w:rPr>
          <w:rFonts w:ascii="Times New Roman" w:hAnsi="Times New Roman" w:cs="Times New Roman"/>
          <w:color w:val="auto"/>
          <w:sz w:val="20"/>
          <w:szCs w:val="24"/>
          <w:lang w:val="en-GB" w:eastAsia="de-DE"/>
        </w:rPr>
        <w:t>-</w:t>
      </w:r>
      <w:r w:rsidR="00981F8A" w:rsidRPr="003355B8">
        <w:rPr>
          <w:rFonts w:ascii="Times New Roman" w:hAnsi="Times New Roman" w:cs="Times New Roman"/>
          <w:color w:val="auto"/>
          <w:sz w:val="20"/>
          <w:szCs w:val="24"/>
          <w:lang w:val="en-GB" w:eastAsia="de-DE"/>
        </w:rPr>
        <w:t>off</w:t>
      </w:r>
      <w:r w:rsidRPr="003355B8">
        <w:rPr>
          <w:rFonts w:ascii="Times New Roman" w:hAnsi="Times New Roman" w:cs="Times New Roman"/>
          <w:color w:val="auto"/>
          <w:sz w:val="20"/>
          <w:szCs w:val="24"/>
          <w:lang w:val="en-GB" w:eastAsia="de-DE"/>
        </w:rPr>
        <w:t xml:space="preserve"> between them. </w:t>
      </w:r>
      <w:bookmarkStart w:id="5" w:name="_Hlk510771048"/>
      <w:r w:rsidRPr="003355B8">
        <w:rPr>
          <w:rFonts w:ascii="Times New Roman" w:hAnsi="Times New Roman" w:cs="Times New Roman"/>
          <w:color w:val="auto"/>
          <w:sz w:val="20"/>
          <w:szCs w:val="24"/>
          <w:lang w:val="en-GB" w:eastAsia="de-DE"/>
        </w:rPr>
        <w:t xml:space="preserve">The basic model presented by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"10.1002/2017EF000562", "ISSN" : "23284277", "author" : [ { "dropping-particle" : "", "family" : "Muneepeerakul", "given" : "Rachata", "non-dropping-particle" : "", "parse-names" : false, "suffix" : "" }, { "dropping-particle" : "", "family" : "Anderies", "given" : "John M.", "non-dropping-particle" : "", "parse-names" : false, "suffix" : "" } ], "container-title" : "Earth's Future", "id" : "ITEM-1", "issue" : "8", "issued" : { "date-parts" : [ [ "2017", "8", "1" ] ] }, "page" : "865-876", "publisher" : "Wiley Periodicals, Inc.", "title" : "Strategic behaviors and governance challenges in social-ecological systems", "type" : "article-journal", "volume" : "5" }, "uris" : [ "http://www.mendeley.com/documents/?uuid=47bc3b3d-f4be-3cc5-a88e-78968dc05228" ] } ], "mendeley" : { "formattedCitation" : "(Muneepeerakul and Anderies)", "manualFormatting" : "Muneepeerakul and Anderies, (2017)", "plainTextFormattedCitation" : "(Muneepeerakul and Anderies)", "previouslyFormattedCitation" : "(Muneepeerakul and Anderies)"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Muneepeerakul and Anderies (2017)</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is described in the</w:t>
      </w:r>
      <w:r w:rsidR="001D789D" w:rsidRPr="003355B8">
        <w:rPr>
          <w:rFonts w:ascii="Times New Roman" w:hAnsi="Times New Roman" w:cs="Times New Roman"/>
          <w:color w:val="auto"/>
          <w:sz w:val="20"/>
          <w:szCs w:val="24"/>
          <w:lang w:val="en-GB" w:eastAsia="de-DE"/>
        </w:rPr>
        <w:t xml:space="preserve"> Appendix</w:t>
      </w:r>
      <w:r w:rsidR="008E38DA" w:rsidRPr="003355B8">
        <w:rPr>
          <w:rFonts w:ascii="Times New Roman" w:hAnsi="Times New Roman" w:cs="Times New Roman"/>
          <w:color w:val="auto"/>
          <w:sz w:val="20"/>
          <w:szCs w:val="24"/>
          <w:lang w:val="en-GB" w:eastAsia="de-DE"/>
        </w:rPr>
        <w:t>.</w:t>
      </w:r>
    </w:p>
    <w:bookmarkEnd w:id="5"/>
    <w:p w14:paraId="2AABE15E" w14:textId="54E0E460" w:rsidR="004A25E8" w:rsidRPr="003355B8" w:rsidRDefault="004A25E8" w:rsidP="002249C7">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Here a policy is defined as a combination of taxation level </w:t>
      </w:r>
      <m:oMath>
        <m:r>
          <w:rPr>
            <w:rFonts w:ascii="Cambria Math" w:hAnsi="Cambria Math" w:cs="Times New Roman"/>
            <w:color w:val="auto"/>
            <w:sz w:val="20"/>
            <w:szCs w:val="24"/>
            <w:lang w:val="en-GB" w:eastAsia="de-DE"/>
          </w:rPr>
          <m:t>C</m:t>
        </m:r>
      </m:oMath>
      <w:r w:rsidRPr="003355B8">
        <w:rPr>
          <w:rFonts w:ascii="Times New Roman" w:hAnsi="Times New Roman" w:cs="Times New Roman"/>
          <w:color w:val="auto"/>
          <w:sz w:val="20"/>
          <w:szCs w:val="24"/>
          <w:lang w:val="en-GB" w:eastAsia="de-DE"/>
        </w:rPr>
        <w:t xml:space="preserve"> and the proportion of </w:t>
      </w:r>
      <w:r w:rsidR="00B05569" w:rsidRPr="003355B8">
        <w:rPr>
          <w:rFonts w:ascii="Times New Roman" w:hAnsi="Times New Roman" w:cs="Times New Roman"/>
          <w:color w:val="auto"/>
          <w:sz w:val="20"/>
          <w:szCs w:val="24"/>
          <w:lang w:val="en-GB" w:eastAsia="de-DE"/>
        </w:rPr>
        <w:t xml:space="preserve">tax </w:t>
      </w:r>
      <w:r w:rsidRPr="003355B8">
        <w:rPr>
          <w:rFonts w:ascii="Times New Roman" w:hAnsi="Times New Roman" w:cs="Times New Roman"/>
          <w:color w:val="auto"/>
          <w:sz w:val="20"/>
          <w:szCs w:val="24"/>
          <w:lang w:val="en-GB" w:eastAsia="de-DE"/>
        </w:rPr>
        <w:t xml:space="preserve">revenue invested in infrastructure maintenance </w:t>
      </w:r>
      <m:oMath>
        <m:r>
          <w:rPr>
            <w:rFonts w:ascii="Cambria Math" w:hAnsi="Cambria Math" w:cs="Times New Roman"/>
            <w:color w:val="auto"/>
            <w:sz w:val="20"/>
            <w:szCs w:val="24"/>
            <w:lang w:val="en-GB" w:eastAsia="de-DE"/>
          </w:rPr>
          <m:t>y</m:t>
        </m:r>
      </m:oMath>
      <w:r w:rsidRPr="003355B8">
        <w:rPr>
          <w:rFonts w:ascii="Times New Roman" w:hAnsi="Times New Roman" w:cs="Times New Roman"/>
          <w:color w:val="auto"/>
          <w:sz w:val="20"/>
          <w:szCs w:val="24"/>
          <w:lang w:val="en-GB" w:eastAsia="de-DE"/>
        </w:rPr>
        <w:t xml:space="preserve"> that the public infrastructure providers (PIPs) decide to implement in the system. </w:t>
      </w:r>
      <w:r w:rsidR="00B05569" w:rsidRPr="003355B8">
        <w:rPr>
          <w:rFonts w:ascii="Times New Roman" w:hAnsi="Times New Roman" w:cs="Times New Roman"/>
          <w:color w:val="auto"/>
          <w:sz w:val="20"/>
          <w:szCs w:val="24"/>
          <w:lang w:val="en-GB" w:eastAsia="de-DE"/>
        </w:rPr>
        <w:t xml:space="preserve">The infrastructure (e.g. canals) enable resource users (RUs) to produce valued goods from a natural resource. </w:t>
      </w:r>
      <w:r w:rsidRPr="003355B8">
        <w:rPr>
          <w:rFonts w:ascii="Times New Roman" w:hAnsi="Times New Roman" w:cs="Times New Roman"/>
          <w:color w:val="auto"/>
          <w:sz w:val="20"/>
          <w:szCs w:val="24"/>
          <w:lang w:val="en-GB" w:eastAsia="de-DE"/>
        </w:rPr>
        <w:t xml:space="preserve">The two fluctuating exogenous factors are the replenishment rate of the </w:t>
      </w:r>
      <w:r w:rsidR="00B05569" w:rsidRPr="003355B8">
        <w:rPr>
          <w:rFonts w:ascii="Times New Roman" w:hAnsi="Times New Roman" w:cs="Times New Roman"/>
          <w:color w:val="auto"/>
          <w:sz w:val="20"/>
          <w:szCs w:val="24"/>
          <w:lang w:val="en-GB" w:eastAsia="de-DE"/>
        </w:rPr>
        <w:t xml:space="preserve">natural </w:t>
      </w:r>
      <w:r w:rsidRPr="003355B8">
        <w:rPr>
          <w:rFonts w:ascii="Times New Roman" w:hAnsi="Times New Roman" w:cs="Times New Roman"/>
          <w:color w:val="auto"/>
          <w:sz w:val="20"/>
          <w:szCs w:val="24"/>
          <w:lang w:val="en-GB" w:eastAsia="de-DE"/>
        </w:rPr>
        <w:t xml:space="preserve">resource </w:t>
      </w:r>
      <m:oMath>
        <m:r>
          <w:rPr>
            <w:rFonts w:ascii="Cambria Math" w:hAnsi="Cambria Math" w:cs="Times New Roman"/>
            <w:color w:val="auto"/>
            <w:sz w:val="20"/>
            <w:szCs w:val="24"/>
            <w:lang w:val="en-GB" w:eastAsia="de-DE"/>
          </w:rPr>
          <m:t>g</m:t>
        </m:r>
      </m:oMath>
      <w:r w:rsidRPr="003355B8">
        <w:rPr>
          <w:rFonts w:ascii="Times New Roman" w:hAnsi="Times New Roman" w:cs="Times New Roman"/>
          <w:color w:val="auto"/>
          <w:sz w:val="20"/>
          <w:szCs w:val="24"/>
          <w:lang w:val="en-GB" w:eastAsia="de-DE"/>
        </w:rPr>
        <w:t xml:space="preserve"> and the wage </w:t>
      </w:r>
      <m:oMath>
        <m:r>
          <w:rPr>
            <w:rFonts w:ascii="Cambria Math" w:hAnsi="Cambria Math" w:cs="Times New Roman"/>
            <w:color w:val="auto"/>
            <w:sz w:val="20"/>
            <w:szCs w:val="24"/>
            <w:lang w:val="en-GB" w:eastAsia="de-DE"/>
          </w:rPr>
          <m:t>w</m:t>
        </m:r>
      </m:oMath>
      <w:r w:rsidRPr="003355B8">
        <w:rPr>
          <w:rFonts w:ascii="Times New Roman" w:hAnsi="Times New Roman" w:cs="Times New Roman"/>
          <w:color w:val="auto"/>
          <w:sz w:val="20"/>
          <w:szCs w:val="24"/>
          <w:lang w:val="en-GB" w:eastAsia="de-DE"/>
        </w:rPr>
        <w:t xml:space="preserve"> that resource users (RUs) would earn from working outside the system—a c</w:t>
      </w:r>
      <w:proofErr w:type="spellStart"/>
      <w:r w:rsidRPr="003355B8">
        <w:rPr>
          <w:rFonts w:ascii="Times New Roman" w:hAnsi="Times New Roman" w:cs="Times New Roman"/>
          <w:color w:val="auto"/>
          <w:sz w:val="20"/>
          <w:szCs w:val="24"/>
          <w:lang w:val="en-GB" w:eastAsia="de-DE"/>
        </w:rPr>
        <w:t>ombination</w:t>
      </w:r>
      <w:proofErr w:type="spellEnd"/>
      <w:r w:rsidRPr="003355B8">
        <w:rPr>
          <w:rFonts w:ascii="Times New Roman" w:hAnsi="Times New Roman" w:cs="Times New Roman"/>
          <w:color w:val="auto"/>
          <w:sz w:val="20"/>
          <w:szCs w:val="24"/>
          <w:lang w:val="en-GB" w:eastAsia="de-DE"/>
        </w:rPr>
        <w:t xml:space="preserve"> of </w:t>
      </w:r>
      <m:oMath>
        <m:r>
          <w:rPr>
            <w:rFonts w:ascii="Cambria Math" w:hAnsi="Cambria Math" w:cs="Times New Roman"/>
            <w:color w:val="auto"/>
            <w:sz w:val="20"/>
            <w:szCs w:val="24"/>
            <w:lang w:val="en-GB" w:eastAsia="de-DE"/>
          </w:rPr>
          <m:t>g</m:t>
        </m:r>
      </m:oMath>
      <w:r w:rsidRPr="003355B8">
        <w:rPr>
          <w:rFonts w:ascii="Times New Roman" w:hAnsi="Times New Roman" w:cs="Times New Roman"/>
          <w:color w:val="auto"/>
          <w:sz w:val="20"/>
          <w:szCs w:val="24"/>
          <w:lang w:val="en-GB" w:eastAsia="de-DE"/>
        </w:rPr>
        <w:t xml:space="preserve"> and </w:t>
      </w:r>
      <m:oMath>
        <m:r>
          <w:rPr>
            <w:rFonts w:ascii="Cambria Math" w:hAnsi="Cambria Math" w:cs="Times New Roman"/>
            <w:color w:val="auto"/>
            <w:sz w:val="20"/>
            <w:szCs w:val="24"/>
            <w:lang w:val="en-GB" w:eastAsia="de-DE"/>
          </w:rPr>
          <m:t>w</m:t>
        </m:r>
      </m:oMath>
      <w:r w:rsidRPr="003355B8">
        <w:rPr>
          <w:rFonts w:ascii="Times New Roman" w:hAnsi="Times New Roman" w:cs="Times New Roman"/>
          <w:color w:val="auto"/>
          <w:sz w:val="20"/>
          <w:szCs w:val="24"/>
          <w:lang w:val="en-GB" w:eastAsia="de-DE"/>
        </w:rPr>
        <w:t xml:space="preserve"> defines a </w:t>
      </w:r>
      <w:r w:rsidR="00BE3045" w:rsidRPr="003355B8">
        <w:rPr>
          <w:rFonts w:ascii="Times New Roman" w:hAnsi="Times New Roman" w:cs="Times New Roman"/>
          <w:color w:val="auto"/>
          <w:sz w:val="20"/>
          <w:szCs w:val="24"/>
          <w:lang w:val="en-GB" w:eastAsia="de-DE"/>
        </w:rPr>
        <w:t>“social-ecological setting” or simply “setting</w:t>
      </w:r>
      <w:r w:rsidRPr="003355B8">
        <w:rPr>
          <w:rFonts w:ascii="Times New Roman" w:hAnsi="Times New Roman" w:cs="Times New Roman"/>
          <w:color w:val="auto"/>
          <w:sz w:val="20"/>
          <w:szCs w:val="24"/>
          <w:lang w:val="en-GB" w:eastAsia="de-DE"/>
        </w:rPr>
        <w:t>.</w:t>
      </w:r>
      <w:r w:rsidR="00BE3045"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xml:space="preserve"> There are two boundaries that, once crossed, </w:t>
      </w:r>
      <w:r w:rsidR="00B05569" w:rsidRPr="003355B8">
        <w:rPr>
          <w:rFonts w:ascii="Times New Roman" w:hAnsi="Times New Roman" w:cs="Times New Roman"/>
          <w:color w:val="auto"/>
          <w:sz w:val="20"/>
          <w:szCs w:val="24"/>
          <w:lang w:val="en-GB" w:eastAsia="de-DE"/>
        </w:rPr>
        <w:t xml:space="preserve">will cause </w:t>
      </w:r>
      <w:r w:rsidRPr="003355B8">
        <w:rPr>
          <w:rFonts w:ascii="Times New Roman" w:hAnsi="Times New Roman" w:cs="Times New Roman"/>
          <w:color w:val="auto"/>
          <w:sz w:val="20"/>
          <w:szCs w:val="24"/>
          <w:lang w:val="en-GB" w:eastAsia="de-DE"/>
        </w:rPr>
        <w:t xml:space="preserve">the system will collapse. The first boundary is called PIP participation constraint (PPC): when the PIPs must invest too much in maintaining the public infrastructure (exceeding the opportunity cost of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w</m:t>
            </m:r>
          </m:e>
          <m:sub>
            <m:r>
              <w:rPr>
                <w:rFonts w:ascii="Cambria Math" w:hAnsi="Cambria Math" w:cs="Cambria Math"/>
                <w:color w:val="auto"/>
                <w:sz w:val="20"/>
                <w:szCs w:val="24"/>
                <w:lang w:val="en-GB" w:eastAsia="de-DE"/>
              </w:rPr>
              <m:t>P</m:t>
            </m:r>
          </m:sub>
        </m:sSub>
      </m:oMath>
      <w:r w:rsidRPr="003355B8">
        <w:rPr>
          <w:rFonts w:ascii="Times New Roman" w:hAnsi="Times New Roman" w:cs="Times New Roman"/>
          <w:color w:val="auto"/>
          <w:sz w:val="20"/>
          <w:szCs w:val="24"/>
          <w:lang w:val="en-GB" w:eastAsia="de-DE"/>
        </w:rPr>
        <w:t>) and/or cannot retain enough revenue for themselves, they will abandon the system for another. The second boundary is the stability condition of the non-trivial equ</w:t>
      </w:r>
      <w:proofErr w:type="spellStart"/>
      <w:r w:rsidRPr="003355B8">
        <w:rPr>
          <w:rFonts w:ascii="Times New Roman" w:hAnsi="Times New Roman" w:cs="Times New Roman"/>
          <w:color w:val="auto"/>
          <w:sz w:val="20"/>
          <w:szCs w:val="24"/>
          <w:lang w:val="en-GB" w:eastAsia="de-DE"/>
        </w:rPr>
        <w:t>ilibrium</w:t>
      </w:r>
      <w:proofErr w:type="spellEnd"/>
      <w:r w:rsidRPr="003355B8">
        <w:rPr>
          <w:rFonts w:ascii="Times New Roman" w:hAnsi="Times New Roman" w:cs="Times New Roman"/>
          <w:color w:val="auto"/>
          <w:sz w:val="20"/>
          <w:szCs w:val="24"/>
          <w:lang w:val="en-GB" w:eastAsia="de-DE"/>
        </w:rPr>
        <w:t xml:space="preserve"> point (i.e., </w:t>
      </w:r>
      <w:r w:rsidR="00B05569" w:rsidRPr="003355B8">
        <w:rPr>
          <w:rFonts w:ascii="Times New Roman" w:hAnsi="Times New Roman" w:cs="Times New Roman"/>
          <w:color w:val="auto"/>
          <w:sz w:val="20"/>
          <w:szCs w:val="24"/>
          <w:lang w:val="en-GB" w:eastAsia="de-DE"/>
        </w:rPr>
        <w:t xml:space="preserve">the “society” in which </w:t>
      </w:r>
      <w:r w:rsidRPr="003355B8">
        <w:rPr>
          <w:rFonts w:ascii="Times New Roman" w:hAnsi="Times New Roman" w:cs="Times New Roman"/>
          <w:color w:val="auto"/>
          <w:sz w:val="20"/>
          <w:szCs w:val="24"/>
          <w:lang w:val="en-GB" w:eastAsia="de-DE"/>
        </w:rPr>
        <w:t>both PIPs</w:t>
      </w:r>
      <w:r w:rsidR="00B05569" w:rsidRPr="003355B8">
        <w:rPr>
          <w:rFonts w:ascii="Times New Roman" w:hAnsi="Times New Roman" w:cs="Times New Roman"/>
          <w:color w:val="auto"/>
          <w:sz w:val="20"/>
          <w:szCs w:val="24"/>
          <w:lang w:val="en-GB" w:eastAsia="de-DE"/>
        </w:rPr>
        <w:t xml:space="preserve"> (e.g. the state)</w:t>
      </w:r>
      <w:r w:rsidRPr="003355B8">
        <w:rPr>
          <w:rFonts w:ascii="Times New Roman" w:hAnsi="Times New Roman" w:cs="Times New Roman"/>
          <w:color w:val="auto"/>
          <w:sz w:val="20"/>
          <w:szCs w:val="24"/>
          <w:lang w:val="en-GB" w:eastAsia="de-DE"/>
        </w:rPr>
        <w:t xml:space="preserve"> and RUs </w:t>
      </w:r>
      <w:r w:rsidR="00B05569" w:rsidRPr="003355B8">
        <w:rPr>
          <w:rFonts w:ascii="Times New Roman" w:hAnsi="Times New Roman" w:cs="Times New Roman"/>
          <w:color w:val="auto"/>
          <w:sz w:val="20"/>
          <w:szCs w:val="24"/>
          <w:lang w:val="en-GB" w:eastAsia="de-DE"/>
        </w:rPr>
        <w:t xml:space="preserve">(e.g. citizens) </w:t>
      </w:r>
      <w:r w:rsidRPr="003355B8">
        <w:rPr>
          <w:rFonts w:ascii="Times New Roman" w:hAnsi="Times New Roman" w:cs="Times New Roman"/>
          <w:color w:val="auto"/>
          <w:sz w:val="20"/>
          <w:szCs w:val="24"/>
          <w:lang w:val="en-GB" w:eastAsia="de-DE"/>
        </w:rPr>
        <w:t>participate in the system and public infrastructure is sufficiently maintained in a long run). Together, these two boundaries delineate a set of policies (</w:t>
      </w:r>
      <m:oMath>
        <m:r>
          <w:rPr>
            <w:rFonts w:ascii="Cambria Math" w:hAnsi="Cambria Math" w:cs="Times New Roman"/>
            <w:color w:val="auto"/>
            <w:sz w:val="20"/>
            <w:szCs w:val="24"/>
            <w:lang w:val="en-GB" w:eastAsia="de-DE"/>
          </w:rPr>
          <m:t>C</m:t>
        </m:r>
      </m:oMath>
      <w:r w:rsidRPr="003355B8">
        <w:rPr>
          <w:rFonts w:ascii="Times New Roman" w:hAnsi="Times New Roman" w:cs="Times New Roman"/>
          <w:color w:val="auto"/>
          <w:sz w:val="20"/>
          <w:szCs w:val="24"/>
          <w:lang w:val="en-GB" w:eastAsia="de-DE"/>
        </w:rPr>
        <w:t>-</w:t>
      </w:r>
      <m:oMath>
        <m:r>
          <w:rPr>
            <w:rFonts w:ascii="Cambria Math" w:hAnsi="Cambria Math" w:cs="Times New Roman"/>
            <w:color w:val="auto"/>
            <w:sz w:val="20"/>
            <w:szCs w:val="24"/>
            <w:lang w:val="en-GB" w:eastAsia="de-DE"/>
          </w:rPr>
          <m:t>y</m:t>
        </m:r>
      </m:oMath>
      <w:r w:rsidRPr="003355B8">
        <w:rPr>
          <w:rFonts w:ascii="Times New Roman" w:hAnsi="Times New Roman" w:cs="Times New Roman"/>
          <w:color w:val="auto"/>
          <w:sz w:val="20"/>
          <w:szCs w:val="24"/>
          <w:lang w:val="en-GB" w:eastAsia="de-DE"/>
        </w:rPr>
        <w:t xml:space="preserve"> combinations) that correspond to sustainable outcomes. The resilience metric to be developed below can be thought of as a metric of how far the system is from these boundaries. As the two exogenous factors defining </w:t>
      </w:r>
      <w:r w:rsidR="00BE3045" w:rsidRPr="003355B8">
        <w:rPr>
          <w:rFonts w:ascii="Times New Roman" w:hAnsi="Times New Roman" w:cs="Times New Roman"/>
          <w:color w:val="auto"/>
          <w:sz w:val="20"/>
          <w:szCs w:val="24"/>
          <w:lang w:val="en-GB" w:eastAsia="de-DE"/>
        </w:rPr>
        <w:t>settings</w:t>
      </w:r>
      <w:r w:rsidRPr="003355B8">
        <w:rPr>
          <w:rFonts w:ascii="Times New Roman" w:hAnsi="Times New Roman" w:cs="Times New Roman"/>
          <w:color w:val="auto"/>
          <w:sz w:val="20"/>
          <w:szCs w:val="24"/>
          <w:lang w:val="en-GB" w:eastAsia="de-DE"/>
        </w:rPr>
        <w:t xml:space="preserve">, namely </w:t>
      </w:r>
      <m:oMath>
        <m:r>
          <w:rPr>
            <w:rFonts w:ascii="Cambria Math" w:hAnsi="Cambria Math" w:cs="Times New Roman"/>
            <w:color w:val="auto"/>
            <w:sz w:val="20"/>
            <w:szCs w:val="24"/>
            <w:lang w:val="en-GB" w:eastAsia="de-DE"/>
          </w:rPr>
          <m:t>g</m:t>
        </m:r>
      </m:oMath>
      <w:r w:rsidRPr="003355B8">
        <w:rPr>
          <w:rFonts w:ascii="Times New Roman" w:hAnsi="Times New Roman" w:cs="Times New Roman"/>
          <w:color w:val="auto"/>
          <w:sz w:val="20"/>
          <w:szCs w:val="24"/>
          <w:lang w:val="en-GB" w:eastAsia="de-DE"/>
        </w:rPr>
        <w:t xml:space="preserve"> and </w:t>
      </w:r>
      <m:oMath>
        <m:r>
          <w:rPr>
            <w:rFonts w:ascii="Cambria Math" w:hAnsi="Cambria Math" w:cs="Times New Roman"/>
            <w:color w:val="auto"/>
            <w:sz w:val="20"/>
            <w:szCs w:val="24"/>
            <w:lang w:val="en-GB" w:eastAsia="de-DE"/>
          </w:rPr>
          <m:t>w</m:t>
        </m:r>
      </m:oMath>
      <w:r w:rsidRPr="003355B8">
        <w:rPr>
          <w:rFonts w:ascii="Times New Roman" w:hAnsi="Times New Roman" w:cs="Times New Roman"/>
          <w:color w:val="auto"/>
          <w:sz w:val="20"/>
          <w:szCs w:val="24"/>
          <w:lang w:val="en-GB" w:eastAsia="de-DE"/>
        </w:rPr>
        <w:t xml:space="preserve">, fluctuate, the two boundaries and thus the resilience metric, too, fluctuate with them. How sensitive the resilience metric is to these fluctuating </w:t>
      </w:r>
      <w:r w:rsidR="00BE3045" w:rsidRPr="003355B8">
        <w:rPr>
          <w:rFonts w:ascii="Times New Roman" w:hAnsi="Times New Roman" w:cs="Times New Roman"/>
          <w:color w:val="auto"/>
          <w:sz w:val="20"/>
          <w:szCs w:val="24"/>
          <w:lang w:val="en-GB" w:eastAsia="de-DE"/>
        </w:rPr>
        <w:t xml:space="preserve">settings </w:t>
      </w:r>
      <w:r w:rsidRPr="003355B8">
        <w:rPr>
          <w:rFonts w:ascii="Times New Roman" w:hAnsi="Times New Roman" w:cs="Times New Roman"/>
          <w:color w:val="auto"/>
          <w:sz w:val="20"/>
          <w:szCs w:val="24"/>
          <w:lang w:val="en-GB" w:eastAsia="de-DE"/>
        </w:rPr>
        <w:t xml:space="preserve">is used to define robustness. </w:t>
      </w:r>
      <w:r w:rsidR="008E032E" w:rsidRPr="003355B8">
        <w:rPr>
          <w:rFonts w:ascii="Times New Roman" w:hAnsi="Times New Roman" w:cs="Times New Roman"/>
          <w:color w:val="auto"/>
          <w:sz w:val="20"/>
          <w:szCs w:val="24"/>
          <w:lang w:val="en-GB" w:eastAsia="de-DE"/>
        </w:rPr>
        <w:t xml:space="preserve">Here, it is worth noting that, while it is possible to examine recovery-based resilience (or the so-called “engineering resilience”), this paper focuses on regime </w:t>
      </w:r>
      <w:r w:rsidR="008E032E" w:rsidRPr="003355B8">
        <w:rPr>
          <w:rFonts w:ascii="Times New Roman" w:hAnsi="Times New Roman" w:cs="Times New Roman"/>
          <w:color w:val="auto"/>
          <w:sz w:val="20"/>
          <w:szCs w:val="24"/>
          <w:lang w:val="en-GB" w:eastAsia="de-DE"/>
        </w:rPr>
        <w:lastRenderedPageBreak/>
        <w:t>shift-based resilience (traditionally called “ecological resilience”) and its robustness. Quantification of and trade</w:t>
      </w:r>
      <w:r w:rsidR="00840F4B" w:rsidRPr="003355B8">
        <w:rPr>
          <w:rFonts w:ascii="Times New Roman" w:hAnsi="Times New Roman" w:cs="Times New Roman"/>
          <w:color w:val="auto"/>
          <w:sz w:val="20"/>
          <w:szCs w:val="24"/>
          <w:lang w:val="en-GB" w:eastAsia="de-DE"/>
        </w:rPr>
        <w:t>-</w:t>
      </w:r>
      <w:r w:rsidR="008E032E" w:rsidRPr="003355B8">
        <w:rPr>
          <w:rFonts w:ascii="Times New Roman" w:hAnsi="Times New Roman" w:cs="Times New Roman"/>
          <w:color w:val="auto"/>
          <w:sz w:val="20"/>
          <w:szCs w:val="24"/>
          <w:lang w:val="en-GB" w:eastAsia="de-DE"/>
        </w:rPr>
        <w:t>offs between resilience and robustness is a novel concept that requires expositional clarity. Presenting several metrics of resilience, let alone studying their trade</w:t>
      </w:r>
      <w:r w:rsidR="00840F4B" w:rsidRPr="003355B8">
        <w:rPr>
          <w:rFonts w:ascii="Times New Roman" w:hAnsi="Times New Roman" w:cs="Times New Roman"/>
          <w:color w:val="auto"/>
          <w:sz w:val="20"/>
          <w:szCs w:val="24"/>
          <w:lang w:val="en-GB" w:eastAsia="de-DE"/>
        </w:rPr>
        <w:t>-</w:t>
      </w:r>
      <w:r w:rsidR="008E032E" w:rsidRPr="003355B8">
        <w:rPr>
          <w:rFonts w:ascii="Times New Roman" w:hAnsi="Times New Roman" w:cs="Times New Roman"/>
          <w:color w:val="auto"/>
          <w:sz w:val="20"/>
          <w:szCs w:val="24"/>
          <w:lang w:val="en-GB" w:eastAsia="de-DE"/>
        </w:rPr>
        <w:t>offs with potentially different metrics of robustness, may confuse the matter and dilute the key messages we attempt to convey. As such, in what follows, we will focus on developing a metric for regime shift-based resilience. With the scope of analysis clarified</w:t>
      </w:r>
      <w:r w:rsidR="00840F4B" w:rsidRPr="003355B8">
        <w:rPr>
          <w:rFonts w:ascii="Times New Roman" w:hAnsi="Times New Roman" w:cs="Times New Roman"/>
          <w:color w:val="auto"/>
          <w:sz w:val="20"/>
          <w:szCs w:val="24"/>
          <w:lang w:val="en-GB" w:eastAsia="de-DE"/>
        </w:rPr>
        <w:t xml:space="preserve"> and suitably bounded</w:t>
      </w:r>
      <w:r w:rsidRPr="003355B8">
        <w:rPr>
          <w:rFonts w:ascii="Times New Roman" w:hAnsi="Times New Roman" w:cs="Times New Roman"/>
          <w:color w:val="auto"/>
          <w:sz w:val="20"/>
          <w:szCs w:val="24"/>
          <w:lang w:val="en-GB" w:eastAsia="de-DE"/>
        </w:rPr>
        <w:t xml:space="preserve">, we </w:t>
      </w:r>
      <w:r w:rsidR="008E032E" w:rsidRPr="003355B8">
        <w:rPr>
          <w:rFonts w:ascii="Times New Roman" w:hAnsi="Times New Roman" w:cs="Times New Roman"/>
          <w:color w:val="auto"/>
          <w:sz w:val="20"/>
          <w:szCs w:val="24"/>
          <w:lang w:val="en-GB" w:eastAsia="de-DE"/>
        </w:rPr>
        <w:t xml:space="preserve">will now </w:t>
      </w:r>
      <w:r w:rsidRPr="003355B8">
        <w:rPr>
          <w:rFonts w:ascii="Times New Roman" w:hAnsi="Times New Roman" w:cs="Times New Roman"/>
          <w:color w:val="auto"/>
          <w:sz w:val="20"/>
          <w:szCs w:val="24"/>
          <w:lang w:val="en-GB" w:eastAsia="de-DE"/>
        </w:rPr>
        <w:t>define resilience and robustness more formally.</w:t>
      </w:r>
    </w:p>
    <w:p w14:paraId="1EF1A379" w14:textId="65971CDE" w:rsidR="004A25E8" w:rsidRPr="003355B8" w:rsidRDefault="004A25E8" w:rsidP="00246F51">
      <w:pPr>
        <w:pStyle w:val="Heading1"/>
        <w:keepLines w:val="0"/>
        <w:numPr>
          <w:ilvl w:val="1"/>
          <w:numId w:val="31"/>
        </w:numPr>
        <w:spacing w:after="240" w:line="240" w:lineRule="auto"/>
        <w:ind w:left="360"/>
        <w:jc w:val="both"/>
        <w:rPr>
          <w:rFonts w:ascii="Times New Roman" w:hAnsi="Times New Roman" w:cs="Arial"/>
          <w:bCs/>
          <w:color w:val="auto"/>
          <w:kern w:val="32"/>
          <w:sz w:val="20"/>
          <w:szCs w:val="32"/>
          <w:lang w:val="en-GB" w:eastAsia="de-DE"/>
        </w:rPr>
      </w:pPr>
      <w:r w:rsidRPr="003355B8">
        <w:rPr>
          <w:rFonts w:ascii="Times New Roman" w:hAnsi="Times New Roman" w:cs="Arial"/>
          <w:bCs/>
          <w:color w:val="auto"/>
          <w:kern w:val="32"/>
          <w:sz w:val="20"/>
          <w:szCs w:val="32"/>
          <w:lang w:val="en-GB" w:eastAsia="de-DE"/>
        </w:rPr>
        <w:t>Resilience metric</w:t>
      </w:r>
    </w:p>
    <w:p w14:paraId="37192802" w14:textId="285DFA6A" w:rsidR="004A25E8" w:rsidRPr="003355B8" w:rsidRDefault="004A25E8" w:rsidP="005D768E">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Direct measurement of </w:t>
      </w:r>
      <w:r w:rsidR="00C82A83" w:rsidRPr="003355B8">
        <w:rPr>
          <w:rFonts w:ascii="Times New Roman" w:hAnsi="Times New Roman" w:cs="Times New Roman"/>
          <w:color w:val="auto"/>
          <w:sz w:val="20"/>
          <w:szCs w:val="24"/>
          <w:lang w:val="en-GB" w:eastAsia="de-DE"/>
        </w:rPr>
        <w:t xml:space="preserve">above-mentioned </w:t>
      </w:r>
      <w:r w:rsidRPr="003355B8">
        <w:rPr>
          <w:rFonts w:ascii="Times New Roman" w:hAnsi="Times New Roman" w:cs="Times New Roman"/>
          <w:color w:val="auto"/>
          <w:sz w:val="20"/>
          <w:szCs w:val="24"/>
          <w:lang w:val="en-GB" w:eastAsia="de-DE"/>
        </w:rPr>
        <w:t>resilience</w:t>
      </w:r>
      <w:r w:rsidR="00A94674" w:rsidRPr="003355B8">
        <w:rPr>
          <w:rFonts w:ascii="Times New Roman" w:hAnsi="Times New Roman" w:cs="Times New Roman"/>
          <w:color w:val="auto"/>
          <w:sz w:val="20"/>
          <w:szCs w:val="24"/>
          <w:lang w:val="en-GB" w:eastAsia="de-DE"/>
        </w:rPr>
        <w:t>, as a specified form of resilience</w:t>
      </w:r>
      <w:r w:rsidR="00210909" w:rsidRPr="003355B8">
        <w:rPr>
          <w:rFonts w:ascii="Times New Roman" w:hAnsi="Times New Roman" w:cs="Times New Roman"/>
          <w:color w:val="auto"/>
          <w:sz w:val="20"/>
          <w:szCs w:val="24"/>
          <w:lang w:val="en-GB" w:eastAsia="de-DE"/>
        </w:rPr>
        <w:t xml:space="preserve"> </w:t>
      </w:r>
      <w:r w:rsidR="0011373D" w:rsidRPr="003355B8">
        <w:rPr>
          <w:rFonts w:ascii="Times New Roman" w:hAnsi="Times New Roman" w:cs="Times New Roman"/>
          <w:color w:val="auto"/>
          <w:sz w:val="20"/>
          <w:szCs w:val="24"/>
          <w:lang w:val="en-GB" w:eastAsia="de-DE"/>
        </w:rPr>
        <w:fldChar w:fldCharType="begin" w:fldLock="1"/>
      </w:r>
      <w:r w:rsidR="00346E19" w:rsidRPr="003355B8">
        <w:rPr>
          <w:rFonts w:ascii="Times New Roman" w:hAnsi="Times New Roman" w:cs="Times New Roman"/>
          <w:color w:val="auto"/>
          <w:sz w:val="20"/>
          <w:szCs w:val="24"/>
          <w:lang w:val="en-GB" w:eastAsia="de-DE"/>
        </w:rPr>
        <w:instrText>ADDIN CSL_CITATION { "citationItems" : [ { "id" : "ITEM-1", "itemData" : { "DOI" : "10.5751/ES-00650-090205", "abstract" : "The concept of resilience has evolved considerably since Holling\u2019s (1973) seminal paper. Different interpretations of what is meant by resilience, however, cause confusion. Resilience of a system needs to be considered in terms of the attributes that govern the system\u2019s dynamics. Three related attributes of social\u2013ecological systems (SESs) determine their future trajectories: resilience, adaptability, and transformability. Resilience (the capacity of a system to absorb disturbance and reorganize while undergoing change so as to still retain essentially the same function, structure, identity, and feedbacks) has four components\u2014latitude, resistance, precariousness, and panarchy\u2014most readily portrayed using the metaphor of a stability landscape. Adaptability is the capacity of actors in the system to influence resilience (in a SES, essentially to manage it). There are four general ways in which this can be done, corresponding to the four aspects of resilience. Transformability is the capacity to create a fundamentally new system when ecological, economic, or social structures make the existing system untenable. The implications of this interpretation of SES dynamics for sustainability science include changing the focus from seeking optimal states and the determinants of maximum sustainable yield (the MSY paradigm), to resilience analysis, adaptive resource management, and adaptive governance.", "author" : [ { "dropping-particle" : "", "family" : "Walker", "given" : "Brian", "non-dropping-particle" : "", "parse-names" : false, "suffix" : "" }, { "dropping-particle" : "", "family" : "Holling", "given" : "C.S.", "non-dropping-particle" : "", "parse-names" : false, "suffix" : "" }, { "dropping-particle" : "", "family" : "Carpenter", "given" : "Stephen R.", "non-dropping-particle" : "", "parse-names" : false, "suffix" : "" }, { "dropping-particle" : "", "family" : "Kinzing", "given" : "Ann", "non-dropping-particle" : "", "parse-names" : false, "suffix" : "" } ], "container-title" : "Ecology and Society", "id" : "ITEM-1", "issue" : "2", "issued" : { "date-parts" : [ [ "2004" ] ] }, "title" : "Resilience , Adaptability and Transformability in Social-Ecological Systems Resilience , Adaptability and Transformability in Social \u2013 ecological Systems", "type" : "article-journal", "volume" : "9" }, "uris" : [ "http://www.mendeley.com/documents/?uuid=77d6d556-e5ec-4766-9a9f-5386b3ae0e26" ] } ], "mendeley" : { "formattedCitation" : "(Brian Walker et al.)", "manualFormatting" : "(Walker et al., 2004)", "plainTextFormattedCitation" : "(Brian Walker et al.)", "previouslyFormattedCitation" : "(Brian Walker et al.)" }, "properties" : { "noteIndex" : 0 }, "schema" : "https://github.com/citation-style-language/schema/raw/master/csl-citation.json" }</w:instrText>
      </w:r>
      <w:r w:rsidR="0011373D" w:rsidRPr="003355B8">
        <w:rPr>
          <w:rFonts w:ascii="Times New Roman" w:hAnsi="Times New Roman" w:cs="Times New Roman"/>
          <w:color w:val="auto"/>
          <w:sz w:val="20"/>
          <w:szCs w:val="24"/>
          <w:lang w:val="en-GB" w:eastAsia="de-DE"/>
        </w:rPr>
        <w:fldChar w:fldCharType="separate"/>
      </w:r>
      <w:r w:rsidR="0011373D" w:rsidRPr="003355B8">
        <w:rPr>
          <w:rFonts w:ascii="Times New Roman" w:hAnsi="Times New Roman" w:cs="Times New Roman"/>
          <w:noProof/>
          <w:color w:val="auto"/>
          <w:sz w:val="20"/>
          <w:szCs w:val="24"/>
          <w:lang w:val="en-GB" w:eastAsia="de-DE"/>
        </w:rPr>
        <w:t>(Walker et al., 2004)</w:t>
      </w:r>
      <w:r w:rsidR="0011373D" w:rsidRPr="003355B8">
        <w:rPr>
          <w:rFonts w:ascii="Times New Roman" w:hAnsi="Times New Roman" w:cs="Times New Roman"/>
          <w:color w:val="auto"/>
          <w:sz w:val="20"/>
          <w:szCs w:val="24"/>
          <w:lang w:val="en-GB" w:eastAsia="de-DE"/>
        </w:rPr>
        <w:fldChar w:fldCharType="end"/>
      </w:r>
      <w:r w:rsidR="00A94674"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xml:space="preserve"> in SES’s is difficult because boundaries and thresholds that separate domains of dynamics for SES’s are difficult to identify</w:t>
      </w:r>
      <w:r w:rsidR="004347F6" w:rsidRPr="003355B8">
        <w:rPr>
          <w:rFonts w:ascii="Times New Roman" w:hAnsi="Times New Roman" w:cs="Times New Roman"/>
          <w:color w:val="auto"/>
          <w:sz w:val="20"/>
          <w:szCs w:val="24"/>
          <w:lang w:val="en-GB" w:eastAsia="de-DE"/>
        </w:rPr>
        <w:t xml:space="preserve">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"10.1007/s10021-005-0170-y", "ISBN" : "1432-9840", "ISSN" : "14329840", "PMID" : "732202", "abstract" : "From its roots in ecology, resilience (Holling 1973) has more recently been applied to social\u2013ecological systems, or SES. Theories of changing resilience explicitly address the persistence or breakdown of diverse states of complex systems (Gunderson and Holling 2002). These ideas have attracted interest from interdisciplinary research groups interested in change, conservation or restoration of SES (Berkes and others 2003; Scheffer and others 2003). From a practical standpoint, resilience theory provides a conceptual foundation for sustainable development (Folke and others 2002). The transition from theory to practice, however, requires assessment or estimation of resilience (Carpenter and others 2001). So far, there is little experience with estimating resilience of SES, and little understanding of the sensitivity of resilience measures to changes in SES. This shortage of practical field experience is a barrier to building understanding through empirical study of resilience in SES.", "author" : [ { "dropping-particle" : "", "family" : "Carpenter", "given" : "Stephen R.", "non-dropping-particle" : "", "parse-names" : false, "suffix" : "" }, { "dropping-particle" : "", "family" : "Westley", "given" : "Frances", "non-dropping-particle" : "", "parse-names" : false, "suffix" : "" }, { "dropping-particle" : "", "family" : "Turner", "given" : "Monica G.", "non-dropping-particle" : "", "parse-names" : false, "suffix" : "" } ], "container-title" : "Ecosystems", "id" : "ITEM-1", "issue" : "8", "issued" : { "date-parts" : [ [ "2005" ] ] }, "page" : "941-944", "title" : "Surrogates for resilience of social-ecological systems", "type" : "article", "volume" : "8" }, "uris" : [ "http://www.mendeley.com/documents/?uuid=8c386280-00ad-4fd1-b829-794619419e5d" ] }, { "id" : "ITEM-2", "itemData" : { "DOI" : "10.1038/nature08227", "ISSN" : "0028-0836", "abstract" : "Many complex systems, ranging from ecosystems to financial markets and the climate, can have critical thresholds or tipping points where a sudden shift from one stable state to a contrasting regime may occur. Predicting such critical points before they are reached is extremely difficult, but work in different fields of science is now suggesting the existence of generic early warning signals that may indicate for a wide class of systems if a critical threshold is approaching. Scheffer et al. conclude their review of this work optimistically: in situations where the existence of a critical transition is suspected, the generic character of the warning signs suggests that they may provide valuable information on whether the probability of a major event is increasing.", "author" : [ { "dropping-particle" : "", "family" : "Scheffer", "given" : "Marten", "non-dropping-particle" : "", "parse-names" : false, "suffix" : "" }, { "dropping-particle" : "", "family" : "Bascompte", "given" : "Jordi", "non-dropping-particle" : "", "parse-names" : false, "suffix" : "" }, { "dropping-particle" : "", "family" : "Brock", "given" : "William A.", "non-dropping-particle" : "", "parse-names" : false, "suffix" : "" }, { "dropping-particle" : "", "family" : "Brovkin", "given" : "Victor", "non-dropping-particle" : "", "parse-names" : false, "suffix" : "" }, { "dropping-particle" : "", "family" : "Carpenter", "given" : "Stephen R.", "non-dropping-particle" : "", "parse-names" : false, "suffix" : "" }, { "dropping-particle" : "", "family" : "Dakos", "given" : "Vasilis", "non-dropping-particle" : "", "parse-names" : false, "suffix" : "" }, { "dropping-particle" : "", "family" : "Held", "given" : "Hermann", "non-dropping-particle" : "", "parse-names" : false, "suffix" : "" }, { "dropping-particle" : "", "family" : "Nes", "given" : "Egbert H.", "non-dropping-particle" : "van", "parse-names" : false, "suffix" : "" }, { "dropping-particle" : "", "family" : "Rietkerk", "given" : "Max", "non-dropping-particle" : "", "parse-names" : false, "suffix" : "" }, { "dropping-particle" : "", "family" : "Sugihara", "given" : "George", "non-dropping-particle" : "", "parse-names" : false, "suffix" : "" } ], "container-title" : "Nature", "id" : "ITEM-2", "issue" : "7260", "issued" : { "date-parts" : [ [ "2009", "9", "3" ] ] }, "page" : "53-59", "publisher" : "Nature Publishing Group", "title" : "Early-warning signals for critical transitions", "type" : "article-journal", "volume" : "461" }, "uris" : [ "http://www.mendeley.com/documents/?uuid=bd606ab9-37b5-353e-9fb4-aaa1d8c88afd" ] }, { "id" : "ITEM-3", "itemData" : { "DOI" : "10.1126/science.1225244", "ISBN" : "1095-9203 (Electronic)\\r0036-8075 (Linking)", "ISSN" : "10959203", "PMID" : "23087241", "abstract" : "Tipping points in complex systems may imply risks of unwanted collapse, but also opportunities for positive change. Our capacity to navigate such risks and opportunities can be boosted by combining emerging insights from two unconnected fields of research. One line of work is revealing fundamental architectural features that may cause ecological networks, financial markets, and other complex systems to have tipping points. Another field of research is uncovering generic empirical indicators of the proximity to such critical thresholds. Although sudden shifts in complex systems will inevitably continue to surprise us, work at the crossroads of these emerging fields offers new approaches for anticipating critical transitions.", "author" : [ { "dropping-particle" : "", "family" : "Scheffer", "given" : "Marten", "non-dropping-particle" : "", "parse-names" : false, "suffix" : "" }, { "dropping-particle" : "", "family" : "Carpenter", "given" : "Stephen R.", "non-dropping-particle" : "", "parse-names" : false, "suffix" : "" }, { "dropping-particle" : "", "family" : "Lenton", "given" : "Timothy M.", "non-dropping-particle" : "", "parse-names" : false, "suffix" : "" }, { "dropping-particle" : "", "family" : "Bascompte", "given" : "Jordi", "non-dropping-particle" : "", "parse-names" : false, "suffix" : "" }, { "dropping-particle" : "", "family" : "Brock", "given" : "William", "non-dropping-particle" : "", "parse-names" : false, "suffix" : "" }, { "dropping-particle" : "", "family" : "Dakos", "given" : "Vasilis", "non-dropping-particle" : "", "parse-names" : false, "suffix" : "" }, { "dropping-particle" : "", "family" : "Koppel", "given" : "Johan", "non-dropping-particle" : "Van De", "parse-names" : false, "suffix" : "" }, { "dropping-particle" : "", "family" : "Leemput", "given" : "Ingrid A.", "non-dropping-particle" : "Van De", "parse-names" : false, "suffix" : "" }, { "dropping-particle" : "", "family" : "Levin", "given" : "Simon A.", "non-dropping-particle" : "", "parse-names" : false, "suffix" : "" }, { "dropping-particle" : "", "family" : "Nes", "given" : "Egbert H.", "non-dropping-particle" : "Van", "parse-names" : false, "suffix" : "" }, { "dropping-particle" : "", "family" : "Pascual", "given" : "Mercedes", "non-dropping-particle" : "", "parse-names" : false, "suffix" : "" }, { "dropping-particle" : "", "family" : "Vandermeer", "given" : "John", "non-dropping-particle" : "", "parse-names" : false, "suffix" : "" } ], "container-title" : "Science", "id" : "ITEM-3", "issue" : "6105", "issued" : { "date-parts" : [ [ "2012" ] ] }, "page" : "344-348", "title" : "Anticipating critical transitions", "type" : "article", "volume" : "338" }, "uris" : [ "http://www.mendeley.com/documents/?uuid=9f3e2d61-89c2-4cc5-90da-a700a7ea90a0" ] } ], "mendeley" : { "formattedCitation" : "(Stephen R. Carpenter, Westley, et al.; Scheffer, Bascompte, et al.; Scheffer, Carpenter, et al.)", "manualFormatting" : "(Carpenter et al., 2005; Scheffer et al., 2009 and 2012)", "plainTextFormattedCitation" : "(Stephen R. Carpenter, Westley, et al.; Scheffer, Bascompte, et al.; Scheffer, Carpenter, et al.)", "previouslyFormattedCitation" : "(Stephen R. Carpenter, Westley, et al.; Scheffer, Bascompte, et al.; Scheffer, Carpenter,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(Carpenter et al., 2005; Scheffer et al., 2009 and 2012)</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In this stylized model, however, such boundaries can be clearly identified</w:t>
      </w:r>
      <w:r w:rsidR="00AB396B" w:rsidRPr="003355B8">
        <w:rPr>
          <w:rFonts w:ascii="Times New Roman" w:hAnsi="Times New Roman" w:cs="Times New Roman"/>
          <w:color w:val="auto"/>
          <w:sz w:val="20"/>
          <w:szCs w:val="24"/>
          <w:lang w:val="en-GB" w:eastAsia="de-DE"/>
        </w:rPr>
        <w:t xml:space="preserve"> by</w:t>
      </w:r>
      <w:r w:rsidRPr="003355B8">
        <w:rPr>
          <w:rFonts w:ascii="Times New Roman" w:hAnsi="Times New Roman" w:cs="Times New Roman"/>
          <w:color w:val="auto"/>
          <w:sz w:val="20"/>
          <w:szCs w:val="24"/>
          <w:lang w:val="en-GB" w:eastAsia="de-DE"/>
        </w:rPr>
        <w:t xml:space="preserve"> the stability condition (SC) and the PPC.</w:t>
      </w:r>
      <w:r w:rsidR="00AD5869" w:rsidRPr="003355B8">
        <w:rPr>
          <w:rFonts w:ascii="Times" w:hAnsi="Times" w:cs="Times New Roman"/>
          <w:color w:val="auto"/>
          <w:sz w:val="20"/>
          <w:szCs w:val="24"/>
          <w:lang w:val="en-GB" w:eastAsia="de-DE"/>
        </w:rPr>
        <w:t xml:space="preserve"> </w:t>
      </w:r>
      <w:r w:rsidR="00B31FF3" w:rsidRPr="003355B8">
        <w:rPr>
          <w:rFonts w:ascii="Times" w:hAnsi="Times" w:cs="Times New Roman"/>
          <w:color w:val="auto"/>
          <w:sz w:val="20"/>
          <w:szCs w:val="24"/>
          <w:lang w:val="en-GB" w:eastAsia="de-DE"/>
        </w:rPr>
        <w:t xml:space="preserve">Here, </w:t>
      </w:r>
      <w:r w:rsidR="00B31FF3" w:rsidRPr="003355B8">
        <w:rPr>
          <w:rFonts w:ascii="Times" w:hAnsi="Times"/>
          <w:color w:val="auto"/>
          <w:sz w:val="20"/>
          <w:szCs w:val="20"/>
        </w:rPr>
        <w:t>w</w:t>
      </w:r>
      <w:r w:rsidR="00AD5869" w:rsidRPr="003355B8">
        <w:rPr>
          <w:rFonts w:ascii="Times" w:hAnsi="Times"/>
          <w:color w:val="auto"/>
          <w:sz w:val="20"/>
          <w:szCs w:val="20"/>
        </w:rPr>
        <w:t>e are interested in the resilience of system</w:t>
      </w:r>
      <w:r w:rsidR="00E5668D" w:rsidRPr="003355B8">
        <w:rPr>
          <w:rFonts w:ascii="Times" w:hAnsi="Times"/>
          <w:color w:val="auto"/>
          <w:sz w:val="20"/>
          <w:szCs w:val="20"/>
        </w:rPr>
        <w:t>’s</w:t>
      </w:r>
      <w:r w:rsidR="00AD5869" w:rsidRPr="003355B8">
        <w:rPr>
          <w:rFonts w:ascii="Times" w:hAnsi="Times"/>
          <w:color w:val="auto"/>
          <w:sz w:val="20"/>
          <w:szCs w:val="20"/>
        </w:rPr>
        <w:t xml:space="preserve"> ability to provide </w:t>
      </w:r>
      <w:r w:rsidR="00B31FF3" w:rsidRPr="003355B8">
        <w:rPr>
          <w:rFonts w:ascii="Times" w:hAnsi="Times"/>
          <w:color w:val="auto"/>
          <w:sz w:val="20"/>
          <w:szCs w:val="20"/>
        </w:rPr>
        <w:t xml:space="preserve">sufficient </w:t>
      </w:r>
      <w:r w:rsidR="00AD5869" w:rsidRPr="003355B8">
        <w:rPr>
          <w:rFonts w:ascii="Times" w:hAnsi="Times"/>
          <w:color w:val="auto"/>
          <w:sz w:val="20"/>
          <w:szCs w:val="20"/>
        </w:rPr>
        <w:t>livelihoods for the PIPs and resource use</w:t>
      </w:r>
      <w:r w:rsidR="00B31FF3" w:rsidRPr="003355B8">
        <w:rPr>
          <w:rFonts w:ascii="Times" w:hAnsi="Times"/>
          <w:color w:val="auto"/>
          <w:sz w:val="20"/>
          <w:szCs w:val="20"/>
        </w:rPr>
        <w:t>r</w:t>
      </w:r>
      <w:r w:rsidR="00AD5869" w:rsidRPr="003355B8">
        <w:rPr>
          <w:rFonts w:ascii="Times" w:hAnsi="Times"/>
          <w:color w:val="auto"/>
          <w:sz w:val="20"/>
          <w:szCs w:val="20"/>
        </w:rPr>
        <w:t>s. The basin of attraction for system resilience is defined by those system states (i.e. infrastructure state) in which this is possibl</w:t>
      </w:r>
      <w:r w:rsidR="00037A96" w:rsidRPr="003355B8">
        <w:rPr>
          <w:rFonts w:ascii="Times" w:hAnsi="Times"/>
          <w:color w:val="auto"/>
          <w:sz w:val="20"/>
          <w:szCs w:val="20"/>
        </w:rPr>
        <w:t>e</w:t>
      </w:r>
      <w:r w:rsidR="008C0F75" w:rsidRPr="003355B8">
        <w:rPr>
          <w:rFonts w:ascii="Times" w:hAnsi="Times"/>
          <w:color w:val="auto"/>
          <w:sz w:val="20"/>
          <w:szCs w:val="20"/>
        </w:rPr>
        <w:t>, and t</w:t>
      </w:r>
      <w:r w:rsidR="00AD5869" w:rsidRPr="003355B8">
        <w:rPr>
          <w:rFonts w:ascii="Times" w:hAnsi="Times"/>
          <w:color w:val="auto"/>
          <w:sz w:val="20"/>
          <w:szCs w:val="20"/>
        </w:rPr>
        <w:t xml:space="preserve">hese system states are directly mapped to the SC and PPC. </w:t>
      </w:r>
      <w:r w:rsidRPr="003355B8">
        <w:rPr>
          <w:rFonts w:ascii="Times New Roman" w:hAnsi="Times New Roman" w:cs="Times New Roman"/>
          <w:color w:val="auto"/>
          <w:sz w:val="20"/>
          <w:szCs w:val="24"/>
          <w:lang w:val="en-GB" w:eastAsia="de-DE"/>
        </w:rPr>
        <w:t xml:space="preserve">We will </w:t>
      </w:r>
      <w:r w:rsidR="00B31FF3" w:rsidRPr="003355B8">
        <w:rPr>
          <w:rFonts w:ascii="Times New Roman" w:hAnsi="Times New Roman" w:cs="Times New Roman"/>
          <w:color w:val="auto"/>
          <w:sz w:val="20"/>
          <w:szCs w:val="24"/>
          <w:lang w:val="en-GB" w:eastAsia="de-DE"/>
        </w:rPr>
        <w:t xml:space="preserve">thus </w:t>
      </w:r>
      <w:r w:rsidRPr="003355B8">
        <w:rPr>
          <w:rFonts w:ascii="Times New Roman" w:hAnsi="Times New Roman" w:cs="Times New Roman"/>
          <w:color w:val="auto"/>
          <w:sz w:val="20"/>
          <w:szCs w:val="24"/>
          <w:lang w:val="en-GB" w:eastAsia="de-DE"/>
        </w:rPr>
        <w:t>define resilience metrics based on the</w:t>
      </w:r>
      <w:r w:rsidR="00B31FF3" w:rsidRPr="003355B8">
        <w:rPr>
          <w:rFonts w:ascii="Times New Roman" w:hAnsi="Times New Roman" w:cs="Times New Roman"/>
          <w:color w:val="auto"/>
          <w:sz w:val="20"/>
          <w:szCs w:val="24"/>
          <w:lang w:val="en-GB" w:eastAsia="de-DE"/>
        </w:rPr>
        <w:t xml:space="preserve"> SC and PPC</w:t>
      </w:r>
      <w:r w:rsidRPr="003355B8">
        <w:rPr>
          <w:rFonts w:ascii="Times New Roman" w:hAnsi="Times New Roman" w:cs="Times New Roman"/>
          <w:color w:val="auto"/>
          <w:sz w:val="20"/>
          <w:szCs w:val="24"/>
          <w:lang w:val="en-GB" w:eastAsia="de-DE"/>
        </w:rPr>
        <w:t xml:space="preserve"> boundaries. </w:t>
      </w:r>
      <w:r w:rsidR="00ED4A7F" w:rsidRPr="003355B8">
        <w:rPr>
          <w:rFonts w:ascii="Times New Roman" w:hAnsi="Times New Roman" w:cs="Times New Roman"/>
          <w:color w:val="auto"/>
          <w:sz w:val="20"/>
          <w:szCs w:val="24"/>
          <w:lang w:val="en-GB" w:eastAsia="de-DE"/>
        </w:rPr>
        <w:t>Here our goal is to</w:t>
      </w:r>
      <w:r w:rsidR="00D71A6C" w:rsidRPr="003355B8">
        <w:rPr>
          <w:rFonts w:ascii="Times New Roman" w:hAnsi="Times New Roman" w:cs="Times New Roman"/>
          <w:color w:val="auto"/>
          <w:sz w:val="20"/>
          <w:szCs w:val="24"/>
          <w:lang w:val="en-GB" w:eastAsia="de-DE"/>
        </w:rPr>
        <w:t xml:space="preserve"> develop resilience metrics that can be meaningfully compared to one another. </w:t>
      </w:r>
      <w:r w:rsidR="00ED4A7F" w:rsidRPr="003355B8">
        <w:rPr>
          <w:rFonts w:ascii="Times New Roman" w:hAnsi="Times New Roman" w:cs="Times New Roman"/>
          <w:color w:val="auto"/>
          <w:sz w:val="20"/>
          <w:szCs w:val="24"/>
          <w:lang w:val="en-GB" w:eastAsia="de-DE"/>
        </w:rPr>
        <w:t>As such, we identify some desired properties that guide the definitions of these resilience metrics. First, they should be zero at their respective boundaries. Second, positive values indicate greater resilience of the system in a desirable state</w:t>
      </w:r>
      <w:r w:rsidR="00E5668D" w:rsidRPr="003355B8">
        <w:rPr>
          <w:rFonts w:ascii="Times New Roman" w:hAnsi="Times New Roman" w:cs="Times New Roman"/>
          <w:color w:val="auto"/>
          <w:sz w:val="20"/>
          <w:szCs w:val="24"/>
          <w:lang w:val="en-GB" w:eastAsia="de-DE"/>
        </w:rPr>
        <w:t>.</w:t>
      </w:r>
      <w:r w:rsidR="00ED4A7F" w:rsidRPr="003355B8">
        <w:rPr>
          <w:rFonts w:ascii="Times New Roman" w:hAnsi="Times New Roman" w:cs="Times New Roman"/>
          <w:color w:val="auto"/>
          <w:sz w:val="20"/>
          <w:szCs w:val="24"/>
          <w:lang w:val="en-GB" w:eastAsia="de-DE"/>
        </w:rPr>
        <w:t xml:space="preserve"> </w:t>
      </w:r>
      <w:r w:rsidR="00BF306B" w:rsidRPr="003355B8">
        <w:rPr>
          <w:rFonts w:ascii="Times New Roman" w:hAnsi="Times New Roman" w:cs="Times New Roman"/>
          <w:color w:val="auto"/>
          <w:sz w:val="20"/>
          <w:szCs w:val="24"/>
          <w:lang w:val="en-GB" w:eastAsia="de-DE"/>
        </w:rPr>
        <w:t>The</w:t>
      </w:r>
      <w:r w:rsidR="00106A3D" w:rsidRPr="003355B8">
        <w:rPr>
          <w:rFonts w:ascii="Times New Roman" w:hAnsi="Times New Roman" w:cs="Times New Roman"/>
          <w:color w:val="auto"/>
          <w:sz w:val="20"/>
          <w:szCs w:val="24"/>
          <w:lang w:val="en-GB" w:eastAsia="de-DE"/>
        </w:rPr>
        <w:t>se</w:t>
      </w:r>
      <w:r w:rsidR="00BF306B" w:rsidRPr="003355B8">
        <w:rPr>
          <w:rFonts w:ascii="Times New Roman" w:hAnsi="Times New Roman" w:cs="Times New Roman"/>
          <w:color w:val="auto"/>
          <w:sz w:val="20"/>
          <w:szCs w:val="24"/>
          <w:lang w:val="en-GB" w:eastAsia="de-DE"/>
        </w:rPr>
        <w:t xml:space="preserve"> first two properties align with how resilience has been measured, i.e., the distance from the boundary of a basin of attraction</w:t>
      </w:r>
      <w:r w:rsidR="00444028" w:rsidRPr="003355B8">
        <w:rPr>
          <w:rFonts w:ascii="Times New Roman" w:hAnsi="Times New Roman" w:cs="Times New Roman"/>
          <w:color w:val="auto"/>
          <w:sz w:val="20"/>
          <w:szCs w:val="24"/>
          <w:lang w:val="en-GB" w:eastAsia="de-DE"/>
        </w:rPr>
        <w:t xml:space="preserve"> (e.g.,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"10.2307/2641327", "ISBN" : "10510761", "ISSN" : "10510761", "PMID" : "730911", "abstract" : "We analyzed management policies for ecosystems subject to alternate states, thresholds, and irreversible changes. We focused on the problem of lake eutrophication by excessive phosphorus (P) input. Eutrophic lakes may be classified, with respect to their response to reduced P input alone, as reversible (recovery is immediate and proportional to the reduction in P input), hysteretic (recovery requires extreme reductions in P input for a period of time), or irreversible (recovery cannot be accomplished by reducing P input alone). A model with one state variable and one control variable describes the responses of lake trophic state to changes in P input and other management interventions. Activities that generate P input to the lake are assumed to create profits, while the value of ecosystem services provided by the lake declines at high P levels. We then calculated P input policies that maximize the discounted net benefits from polluting activities and ecosystem services. If \"optimality\" is defined as maximizing this discounted criterion, then analyses based on deterministic lake dynamics usually lead to higher P input rates than analyses that assume various kinds of variability (e.g., inputs are affected by stochastic factors such as weather, policy is implemented with lags, or parameters of the limnological model are uncertain). In reality, all of these complications occur. Therefore, if maximum economic benefit is the goal of lake management, P input targets should be reduced below levels derived from traditional deterministic models. This pattern may apply to other situations where diffuse pollution causes nonlinear changes in ecosystem state, such as the greenhouse effect or acid deposition.", "author" : [ { "dropping-particle" : "", "family" : "Carpenter", "given" : "S. R.", "non-dropping-particle" : "", "parse-names" : false, "suffix" : "" }, { "dropping-particle" : "", "family" : "Ludwig", "given" : "D.", "non-dropping-particle" : "", "parse-names" : false, "suffix" : "" }, { "dropping-particle" : "", "family" : "Brock", "given" : "W. A.", "non-dropping-particle" : "", "parse-names" : false, "suffix" : "" } ], "container-title" : "Ecological Applications", "id" : "ITEM-1", "issue" : "3", "issued" : { "date-parts" : [ [ "1999" ] ] }, "page" : "751-771", "title" : "Management of eutrophication for lakes subject to potentially irreversible change", "type" : "article-journal", "volume" : "9" }, "uris" : [ "http://www.mendeley.com/documents/?uuid=5881c60b-c27d-4f46-9d2c-7dfa9b8912f2" ] }, { "id" : "ITEM-2", "itemData" : { "DOI" : "10.1007/s10021-001-0053-9", "ISBN" : "1432-9840", "ISSN" : "14329840", "abstract" : "We developed a stylized mathematical model to explore the effects of physical, ecological, and economic factors on the resilience of a managed fire-driven rangeland system. Depending on grazing pressure, the model exhibits one of three distinct configurations: a fire-dominated, grazing-dominated, or shrub-dominated rangeland system. Transaction costs and costs due to shrub invasion, via their effect on grazing decisions, strongly influence which stable configuration is occupied. This, in turn, determines the resilience of the rangeland system. These results are used to establish conditions under which management for profit is consistent with the maintenance of resilience.", "author" : [ { "dropping-particle" : "", "family" : "Anderies", "given" : "John M.", "non-dropping-particle" : "", "parse-names" : false, "suffix" : "" }, { "dropping-particle" : "", "family" : "Janssen", "given" : "Marco A.", "non-dropping-particle" : "", "parse-names" : false, "suffix" : "" }, { "dropping-particle" : "", "family" : "Walker", "given" : "Brian H.", "non-dropping-particle" : "", "parse-names" : false, "suffix" : "" } ], "container-title" : "Ecosystems", "id" : "ITEM-2", "issue" : "1", "issued" : { "date-parts" : [ [ "2002" ] ] }, "page" : "23-44", "title" : "Grazing management, resilience, and the dynamics of a fire-driven rangeland system", "type" : "article-journal", "volume" : "5" }, "uris" : [ "http://www.mendeley.com/documents/?uuid=8a76e065-cdef-474e-903c-11dd2dca6a18" ] } ], "mendeley" : { "formattedCitation" : "(S. R. Carpenter et al.; John M. Anderies, Janssen, et al.)", "manualFormatting" : "Anderies et al., 2002; S. R. Carpenter et al., 1999)", "plainTextFormattedCitation" : "(S. R. Carpenter et al.; John M. Anderies, Janssen, et al.)", "previouslyFormattedCitation" : "(S. R. Carpenter et al.; John M. Anderies, Janssen, et al.)"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Anderies et al., 2002; S. R. Carpenter et al., 1999)</w:t>
      </w:r>
      <w:r w:rsidR="000E17FF" w:rsidRPr="003355B8">
        <w:rPr>
          <w:rStyle w:val="FootnoteReference"/>
          <w:rFonts w:ascii="Times New Roman" w:hAnsi="Times New Roman" w:cs="Times New Roman"/>
          <w:color w:val="auto"/>
          <w:sz w:val="20"/>
          <w:szCs w:val="24"/>
          <w:lang w:val="en-GB" w:eastAsia="de-DE"/>
        </w:rPr>
        <w:fldChar w:fldCharType="end"/>
      </w:r>
      <w:r w:rsidR="00BF306B" w:rsidRPr="003355B8">
        <w:rPr>
          <w:rFonts w:ascii="Times New Roman" w:hAnsi="Times New Roman" w:cs="Times New Roman"/>
          <w:color w:val="auto"/>
          <w:sz w:val="20"/>
          <w:szCs w:val="24"/>
          <w:lang w:val="en-GB" w:eastAsia="de-DE"/>
        </w:rPr>
        <w:t xml:space="preserve">. </w:t>
      </w:r>
      <w:r w:rsidR="00ED4A7F" w:rsidRPr="003355B8">
        <w:rPr>
          <w:rFonts w:ascii="Times New Roman" w:hAnsi="Times New Roman" w:cs="Times New Roman"/>
          <w:color w:val="auto"/>
          <w:sz w:val="20"/>
          <w:szCs w:val="24"/>
          <w:lang w:val="en-GB" w:eastAsia="de-DE"/>
        </w:rPr>
        <w:t>Third,</w:t>
      </w:r>
      <w:r w:rsidR="00BF306B" w:rsidRPr="003355B8">
        <w:rPr>
          <w:rFonts w:ascii="Times New Roman" w:hAnsi="Times New Roman" w:cs="Times New Roman"/>
          <w:color w:val="auto"/>
          <w:sz w:val="20"/>
          <w:szCs w:val="24"/>
          <w:lang w:val="en-GB" w:eastAsia="de-DE"/>
        </w:rPr>
        <w:t xml:space="preserve"> to facilitate the consideration of relative risks associated with different types of regime shifts</w:t>
      </w:r>
      <w:r w:rsidR="00106A3D" w:rsidRPr="003355B8">
        <w:rPr>
          <w:rFonts w:ascii="Times New Roman" w:hAnsi="Times New Roman" w:cs="Times New Roman"/>
          <w:color w:val="auto"/>
          <w:sz w:val="20"/>
          <w:szCs w:val="24"/>
          <w:lang w:val="en-GB" w:eastAsia="de-DE"/>
        </w:rPr>
        <w:t xml:space="preserve"> that the system may be facing</w:t>
      </w:r>
      <w:r w:rsidR="00BF306B" w:rsidRPr="003355B8">
        <w:rPr>
          <w:rFonts w:ascii="Times New Roman" w:hAnsi="Times New Roman" w:cs="Times New Roman"/>
          <w:color w:val="auto"/>
          <w:sz w:val="20"/>
          <w:szCs w:val="24"/>
          <w:lang w:val="en-GB" w:eastAsia="de-DE"/>
        </w:rPr>
        <w:t>,</w:t>
      </w:r>
      <w:r w:rsidR="00ED4A7F" w:rsidRPr="003355B8">
        <w:rPr>
          <w:rFonts w:ascii="Times New Roman" w:hAnsi="Times New Roman" w:cs="Times New Roman"/>
          <w:color w:val="auto"/>
          <w:sz w:val="20"/>
          <w:szCs w:val="24"/>
          <w:lang w:val="en-GB" w:eastAsia="de-DE"/>
        </w:rPr>
        <w:t xml:space="preserve"> the</w:t>
      </w:r>
      <w:r w:rsidR="00BF306B" w:rsidRPr="003355B8">
        <w:rPr>
          <w:rFonts w:ascii="Times New Roman" w:hAnsi="Times New Roman" w:cs="Times New Roman"/>
          <w:color w:val="auto"/>
          <w:sz w:val="20"/>
          <w:szCs w:val="24"/>
          <w:lang w:val="en-GB" w:eastAsia="de-DE"/>
        </w:rPr>
        <w:t xml:space="preserve"> metrics</w:t>
      </w:r>
      <w:r w:rsidR="00ED4A7F" w:rsidRPr="003355B8">
        <w:rPr>
          <w:rFonts w:ascii="Times New Roman" w:hAnsi="Times New Roman" w:cs="Times New Roman"/>
          <w:color w:val="auto"/>
          <w:sz w:val="20"/>
          <w:szCs w:val="24"/>
          <w:lang w:val="en-GB" w:eastAsia="de-DE"/>
        </w:rPr>
        <w:t xml:space="preserve"> should be comparable in magnitude. These properties guide us toward the following definitions of the resilience metrics.</w:t>
      </w:r>
    </w:p>
    <w:p w14:paraId="5B20A067" w14:textId="2693EEDA" w:rsidR="004A25E8" w:rsidRPr="003355B8" w:rsidRDefault="004A25E8" w:rsidP="005D768E">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We define the resilience of the system</w:t>
      </w:r>
      <w:r w:rsidR="00A91D3B" w:rsidRPr="003355B8">
        <w:rPr>
          <w:rFonts w:ascii="Times New Roman" w:hAnsi="Times New Roman" w:cs="Times New Roman"/>
          <w:color w:val="auto"/>
          <w:sz w:val="20"/>
          <w:szCs w:val="24"/>
          <w:lang w:val="en-GB" w:eastAsia="de-DE"/>
        </w:rPr>
        <w:t xml:space="preserve"> against</w:t>
      </w:r>
      <w:r w:rsidRPr="003355B8">
        <w:rPr>
          <w:rFonts w:ascii="Times New Roman" w:hAnsi="Times New Roman" w:cs="Times New Roman"/>
          <w:color w:val="auto"/>
          <w:sz w:val="20"/>
          <w:szCs w:val="24"/>
          <w:lang w:val="en-GB" w:eastAsia="de-DE"/>
        </w:rPr>
        <w:t xml:space="preserve"> abandonment by PIPs as follows:</w:t>
      </w:r>
    </w:p>
    <w:p w14:paraId="2C917C63" w14:textId="63EDBA0A" w:rsidR="004A25E8" w:rsidRPr="003355B8" w:rsidRDefault="00586A79" w:rsidP="000053AC">
      <w:pPr>
        <w:spacing w:after="120" w:line="240" w:lineRule="auto"/>
        <w:jc w:val="center"/>
        <w:rPr>
          <w:rFonts w:ascii="Times New Roman" w:hAnsi="Times New Roman" w:cs="Times New Roman"/>
          <w:color w:val="auto"/>
          <w:sz w:val="20"/>
          <w:szCs w:val="20"/>
        </w:rPr>
      </w:pPr>
      <m:oMathPara>
        <m:oMathParaPr>
          <m:jc m:val="right"/>
        </m:oMathParaPr>
        <m:oMath>
          <m:sSub>
            <m:sSubPr>
              <m:ctrlPr>
                <w:rPr>
                  <w:rFonts w:ascii="Cambria Math" w:hAnsi="Cambria Math"/>
                  <w:color w:val="auto"/>
                  <w:sz w:val="20"/>
                  <w:szCs w:val="20"/>
                </w:rPr>
              </m:ctrlPr>
            </m:sSubPr>
            <m:e>
              <m:r>
                <w:rPr>
                  <w:rFonts w:ascii="Cambria Math" w:hAnsi="Cambria Math" w:cs="Cambria Math"/>
                  <w:color w:val="auto"/>
                  <w:sz w:val="20"/>
                  <w:szCs w:val="20"/>
                </w:rPr>
                <m:t>R</m:t>
              </m:r>
            </m:e>
            <m:sub>
              <m:r>
                <w:rPr>
                  <w:rFonts w:ascii="Cambria Math" w:hAnsi="Cambria Math" w:cs="Cambria Math"/>
                  <w:color w:val="auto"/>
                  <w:sz w:val="20"/>
                  <w:szCs w:val="20"/>
                </w:rPr>
                <m:t>PPC</m:t>
              </m:r>
            </m:sub>
          </m:sSub>
          <m:r>
            <w:rPr>
              <w:rFonts w:ascii="Cambria Math" w:hAnsi="Cambria Math" w:cs="Cambria Math"/>
              <w:color w:val="auto"/>
              <w:sz w:val="20"/>
              <w:szCs w:val="20"/>
            </w:rPr>
            <m:t>=</m:t>
          </m:r>
          <m:sSub>
            <m:sSubPr>
              <m:ctrlPr>
                <w:rPr>
                  <w:rFonts w:ascii="Cambria Math" w:hAnsi="Cambria Math"/>
                  <w:color w:val="auto"/>
                  <w:sz w:val="20"/>
                  <w:szCs w:val="20"/>
                </w:rPr>
              </m:ctrlPr>
            </m:sSubPr>
            <m:e>
              <m:r>
                <w:rPr>
                  <w:rFonts w:ascii="Cambria Math" w:hAnsi="Cambria Math" w:cs="Cambria Math"/>
                  <w:color w:val="auto"/>
                  <w:sz w:val="20"/>
                  <w:szCs w:val="20"/>
                </w:rPr>
                <m:t>(π</m:t>
              </m:r>
            </m:e>
            <m:sub>
              <m:r>
                <w:rPr>
                  <w:rFonts w:ascii="Cambria Math" w:hAnsi="Cambria Math" w:cs="Cambria Math"/>
                  <w:color w:val="auto"/>
                  <w:sz w:val="20"/>
                  <w:szCs w:val="20"/>
                </w:rPr>
                <m:t>P</m:t>
              </m:r>
            </m:sub>
          </m:sSub>
          <m:r>
            <w:rPr>
              <w:rFonts w:ascii="Cambria Math" w:hAnsi="Cambria Math" w:cs="Cambria Math"/>
              <w:color w:val="auto"/>
              <w:sz w:val="20"/>
              <w:szCs w:val="20"/>
            </w:rPr>
            <m:t>/</m:t>
          </m:r>
          <m:sSub>
            <m:sSubPr>
              <m:ctrlPr>
                <w:rPr>
                  <w:rFonts w:ascii="Cambria Math" w:hAnsi="Cambria Math"/>
                  <w:color w:val="auto"/>
                  <w:sz w:val="20"/>
                  <w:szCs w:val="20"/>
                </w:rPr>
              </m:ctrlPr>
            </m:sSubPr>
            <m:e>
              <m:r>
                <w:rPr>
                  <w:rFonts w:ascii="Cambria Math" w:hAnsi="Cambria Math" w:cs="Cambria Math"/>
                  <w:color w:val="auto"/>
                  <w:sz w:val="20"/>
                  <w:szCs w:val="20"/>
                </w:rPr>
                <m:t>w</m:t>
              </m:r>
            </m:e>
            <m:sub>
              <m:r>
                <w:rPr>
                  <w:rFonts w:ascii="Cambria Math" w:hAnsi="Cambria Math" w:cs="Cambria Math"/>
                  <w:color w:val="auto"/>
                  <w:sz w:val="20"/>
                  <w:szCs w:val="20"/>
                </w:rPr>
                <m:t>P</m:t>
              </m:r>
            </m:sub>
          </m:sSub>
          <m:r>
            <w:rPr>
              <w:rFonts w:ascii="Cambria Math" w:hAnsi="Cambria Math" w:cs="Cambria Math"/>
              <w:color w:val="auto"/>
              <w:sz w:val="20"/>
              <w:szCs w:val="20"/>
            </w:rPr>
            <m:t>)-1</m:t>
          </m:r>
          <m:r>
            <w:rPr>
              <w:rFonts w:ascii="Cambria Math" w:hAnsi="Cambria Math" w:cs="Times New Roman"/>
              <w:color w:val="auto"/>
              <w:sz w:val="20"/>
              <w:szCs w:val="20"/>
            </w:rPr>
            <m:t xml:space="preserve">,                                                                                      </m:t>
          </m:r>
          <m:r>
            <m:rPr>
              <m:sty m:val="p"/>
            </m:rPr>
            <w:rPr>
              <w:rFonts w:ascii="Cambria Math" w:hAnsi="Cambria Math" w:cs="Times New Roman"/>
              <w:color w:val="auto"/>
              <w:sz w:val="20"/>
              <w:szCs w:val="24"/>
              <w:lang w:val="en-GB" w:eastAsia="de-DE"/>
            </w:rPr>
            <m:t>(1)</m:t>
          </m:r>
        </m:oMath>
      </m:oMathPara>
    </w:p>
    <w:p w14:paraId="56FA460A" w14:textId="0A7025DC" w:rsidR="00ED4A7F" w:rsidRPr="003355B8" w:rsidRDefault="004A25E8" w:rsidP="00CC3D44">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where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π</m:t>
            </m:r>
          </m:e>
          <m:sub>
            <m:r>
              <w:rPr>
                <w:rFonts w:ascii="Cambria Math" w:hAnsi="Cambria Math" w:cs="Times New Roman"/>
                <w:color w:val="auto"/>
                <w:sz w:val="20"/>
                <w:szCs w:val="24"/>
                <w:lang w:val="en-GB" w:eastAsia="de-DE"/>
              </w:rPr>
              <m:t>P</m:t>
            </m:r>
          </m:sub>
        </m:sSub>
      </m:oMath>
      <w:r w:rsidRPr="003355B8">
        <w:rPr>
          <w:rFonts w:ascii="Times New Roman" w:hAnsi="Times New Roman" w:cs="Times New Roman"/>
          <w:color w:val="auto"/>
          <w:sz w:val="20"/>
          <w:szCs w:val="24"/>
          <w:lang w:val="en-GB" w:eastAsia="de-DE"/>
        </w:rPr>
        <w:t xml:space="preserve"> is the net revenue that PIPs collect and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w</m:t>
            </m:r>
          </m:e>
          <m:sub>
            <m:r>
              <w:rPr>
                <w:rFonts w:ascii="Cambria Math" w:hAnsi="Cambria Math" w:cs="Cambria Math"/>
                <w:color w:val="auto"/>
                <w:sz w:val="20"/>
                <w:szCs w:val="24"/>
                <w:lang w:val="en-GB" w:eastAsia="de-DE"/>
              </w:rPr>
              <m:t>P</m:t>
            </m:r>
          </m:sub>
        </m:sSub>
      </m:oMath>
      <w:r w:rsidRPr="003355B8">
        <w:rPr>
          <w:rFonts w:ascii="Times New Roman" w:hAnsi="Times New Roman" w:cs="Times New Roman"/>
          <w:color w:val="auto"/>
          <w:sz w:val="20"/>
          <w:szCs w:val="24"/>
          <w:lang w:val="en-GB" w:eastAsia="de-DE"/>
        </w:rPr>
        <w:t xml:space="preserve"> is the opportunity cost that they will earn if they choose to work with another system.</w:t>
      </w:r>
      <w:r w:rsidR="00BF306B" w:rsidRPr="003355B8">
        <w:rPr>
          <w:rFonts w:ascii="Times New Roman" w:hAnsi="Times New Roman" w:cs="Times New Roman"/>
          <w:color w:val="auto"/>
          <w:sz w:val="20"/>
          <w:szCs w:val="24"/>
          <w:lang w:val="en-GB" w:eastAsia="de-DE"/>
        </w:rPr>
        <w:t xml:space="preserve"> P</w:t>
      </w:r>
      <w:r w:rsidR="004F4390" w:rsidRPr="003355B8">
        <w:rPr>
          <w:rFonts w:ascii="Times New Roman" w:hAnsi="Times New Roman" w:cs="Times New Roman"/>
          <w:color w:val="auto"/>
          <w:sz w:val="20"/>
          <w:szCs w:val="24"/>
          <w:lang w:val="en-GB" w:eastAsia="de-DE"/>
        </w:rPr>
        <w:t>ositive</w:t>
      </w:r>
      <w:r w:rsidR="00ED4A7F" w:rsidRPr="003355B8">
        <w:rPr>
          <w:rFonts w:ascii="Times New Roman" w:hAnsi="Times New Roman" w:cs="Times New Roman"/>
          <w:color w:val="auto"/>
          <w:sz w:val="20"/>
          <w:szCs w:val="24"/>
          <w:lang w:val="en-GB" w:eastAsia="de-DE"/>
        </w:rPr>
        <w:t xml:space="preserve"> values of</w:t>
      </w:r>
      <w:r w:rsidR="004F4390" w:rsidRPr="003355B8">
        <w:rPr>
          <w:rFonts w:ascii="Times New Roman" w:hAnsi="Times New Roman" w:cs="Times New Roman"/>
          <w:color w:val="auto"/>
          <w:sz w:val="20"/>
          <w:szCs w:val="24"/>
          <w:lang w:val="en-GB" w:eastAsia="de-DE"/>
        </w:rPr>
        <w:t xml:space="preserve">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PPC</m:t>
            </m:r>
          </m:sub>
        </m:sSub>
      </m:oMath>
      <w:r w:rsidR="004F4390" w:rsidRPr="003355B8">
        <w:rPr>
          <w:rFonts w:ascii="Times New Roman" w:hAnsi="Times New Roman" w:cs="Times New Roman"/>
          <w:color w:val="auto"/>
          <w:sz w:val="20"/>
          <w:szCs w:val="24"/>
          <w:lang w:val="en-GB" w:eastAsia="de-DE"/>
        </w:rPr>
        <w:t xml:space="preserve"> </w:t>
      </w:r>
      <w:r w:rsidR="00BF306B" w:rsidRPr="003355B8">
        <w:rPr>
          <w:rFonts w:ascii="Times New Roman" w:hAnsi="Times New Roman" w:cs="Times New Roman"/>
          <w:color w:val="auto"/>
          <w:sz w:val="20"/>
          <w:szCs w:val="24"/>
          <w:lang w:val="en-GB" w:eastAsia="de-DE"/>
        </w:rPr>
        <w:t>indicate</w:t>
      </w:r>
      <w:r w:rsidR="004F4390" w:rsidRPr="003355B8">
        <w:rPr>
          <w:rFonts w:ascii="Times New Roman" w:hAnsi="Times New Roman" w:cs="Times New Roman"/>
          <w:color w:val="auto"/>
          <w:sz w:val="20"/>
          <w:szCs w:val="24"/>
          <w:lang w:val="en-GB" w:eastAsia="de-DE"/>
        </w:rPr>
        <w:t xml:space="preserve"> </w:t>
      </w:r>
      <w:r w:rsidR="00ED4A7F" w:rsidRPr="003355B8">
        <w:rPr>
          <w:rFonts w:ascii="Times New Roman" w:hAnsi="Times New Roman" w:cs="Times New Roman"/>
          <w:color w:val="auto"/>
          <w:sz w:val="20"/>
          <w:szCs w:val="24"/>
          <w:lang w:val="en-GB" w:eastAsia="de-DE"/>
        </w:rPr>
        <w:t xml:space="preserve">that the </w:t>
      </w:r>
      <w:r w:rsidR="004F4390" w:rsidRPr="003355B8">
        <w:rPr>
          <w:rFonts w:ascii="Times New Roman" w:hAnsi="Times New Roman" w:cs="Times New Roman"/>
          <w:color w:val="auto"/>
          <w:sz w:val="20"/>
          <w:szCs w:val="24"/>
          <w:lang w:val="en-GB" w:eastAsia="de-DE"/>
        </w:rPr>
        <w:t xml:space="preserve">system is resilient </w:t>
      </w:r>
      <w:r w:rsidR="00ED4A7F" w:rsidRPr="003355B8">
        <w:rPr>
          <w:rFonts w:ascii="Times New Roman" w:hAnsi="Times New Roman" w:cs="Times New Roman"/>
          <w:color w:val="auto"/>
          <w:sz w:val="20"/>
          <w:szCs w:val="24"/>
          <w:lang w:val="en-GB" w:eastAsia="de-DE"/>
        </w:rPr>
        <w:t>against</w:t>
      </w:r>
      <w:r w:rsidR="004F4390" w:rsidRPr="003355B8">
        <w:rPr>
          <w:rFonts w:ascii="Times New Roman" w:hAnsi="Times New Roman" w:cs="Times New Roman"/>
          <w:color w:val="auto"/>
          <w:sz w:val="20"/>
          <w:szCs w:val="24"/>
          <w:lang w:val="en-GB" w:eastAsia="de-DE"/>
        </w:rPr>
        <w:t xml:space="preserve"> being abandoned by PIPs, while negative </w:t>
      </w:r>
      <w:r w:rsidR="00ED0E1C" w:rsidRPr="003355B8">
        <w:rPr>
          <w:rFonts w:ascii="Times New Roman" w:hAnsi="Times New Roman" w:cs="Times New Roman"/>
          <w:color w:val="auto"/>
          <w:sz w:val="20"/>
          <w:szCs w:val="24"/>
          <w:lang w:val="en-GB" w:eastAsia="de-DE"/>
        </w:rPr>
        <w:t>values</w:t>
      </w:r>
      <w:r w:rsidR="004F4390" w:rsidRPr="003355B8">
        <w:rPr>
          <w:rFonts w:ascii="Times New Roman" w:hAnsi="Times New Roman" w:cs="Times New Roman"/>
          <w:color w:val="auto"/>
          <w:sz w:val="20"/>
          <w:szCs w:val="24"/>
          <w:lang w:val="en-GB" w:eastAsia="de-DE"/>
        </w:rPr>
        <w:t xml:space="preserve"> </w:t>
      </w:r>
      <w:r w:rsidR="00BF306B" w:rsidRPr="003355B8">
        <w:rPr>
          <w:rFonts w:ascii="Times New Roman" w:hAnsi="Times New Roman" w:cs="Times New Roman"/>
          <w:color w:val="auto"/>
          <w:sz w:val="20"/>
          <w:szCs w:val="24"/>
          <w:lang w:val="en-GB" w:eastAsia="de-DE"/>
        </w:rPr>
        <w:t>indicate</w:t>
      </w:r>
      <w:r w:rsidR="00ED4A7F" w:rsidRPr="003355B8">
        <w:rPr>
          <w:rFonts w:ascii="Times New Roman" w:hAnsi="Times New Roman" w:cs="Times New Roman"/>
          <w:color w:val="auto"/>
          <w:sz w:val="20"/>
          <w:szCs w:val="24"/>
          <w:lang w:val="en-GB" w:eastAsia="de-DE"/>
        </w:rPr>
        <w:t xml:space="preserve"> that the system will eventually collapse due to the </w:t>
      </w:r>
      <w:proofErr w:type="spellStart"/>
      <w:r w:rsidR="00ED4A7F" w:rsidRPr="003355B8">
        <w:rPr>
          <w:rFonts w:ascii="Times New Roman" w:hAnsi="Times New Roman" w:cs="Times New Roman"/>
          <w:color w:val="auto"/>
          <w:sz w:val="20"/>
          <w:szCs w:val="24"/>
          <w:lang w:val="en-GB" w:eastAsia="de-DE"/>
        </w:rPr>
        <w:t>PIPs’</w:t>
      </w:r>
      <w:proofErr w:type="spellEnd"/>
      <w:r w:rsidR="00ED4A7F" w:rsidRPr="003355B8">
        <w:rPr>
          <w:rFonts w:ascii="Times New Roman" w:hAnsi="Times New Roman" w:cs="Times New Roman"/>
          <w:color w:val="auto"/>
          <w:sz w:val="20"/>
          <w:szCs w:val="24"/>
          <w:lang w:val="en-GB" w:eastAsia="de-DE"/>
        </w:rPr>
        <w:t xml:space="preserve"> abandonment</w:t>
      </w:r>
      <w:r w:rsidR="004F4390" w:rsidRPr="003355B8">
        <w:rPr>
          <w:rFonts w:ascii="Times New Roman" w:hAnsi="Times New Roman" w:cs="Times New Roman"/>
          <w:color w:val="auto"/>
          <w:sz w:val="20"/>
          <w:szCs w:val="24"/>
          <w:lang w:val="en-GB" w:eastAsia="de-DE"/>
        </w:rPr>
        <w:t xml:space="preserve">. </w:t>
      </w:r>
      <w:r w:rsidR="000460FE" w:rsidRPr="003355B8">
        <w:rPr>
          <w:rFonts w:ascii="Times New Roman" w:hAnsi="Times New Roman" w:cs="Times New Roman"/>
          <w:color w:val="auto"/>
          <w:sz w:val="20"/>
          <w:szCs w:val="24"/>
          <w:lang w:val="en-GB" w:eastAsia="de-DE"/>
        </w:rPr>
        <w:t xml:space="preserve">It is important to note that </w:t>
      </w:r>
      <m:oMath>
        <m:sSub>
          <m:sSubPr>
            <m:ctrlPr>
              <w:rPr>
                <w:rFonts w:ascii="Cambria Math" w:hAnsi="Cambria Math"/>
                <w:color w:val="auto"/>
                <w:sz w:val="20"/>
                <w:szCs w:val="20"/>
              </w:rPr>
            </m:ctrlPr>
          </m:sSubPr>
          <m:e>
            <m:r>
              <w:rPr>
                <w:rFonts w:ascii="Cambria Math" w:hAnsi="Cambria Math" w:cs="Cambria Math"/>
                <w:color w:val="auto"/>
                <w:sz w:val="20"/>
                <w:szCs w:val="20"/>
              </w:rPr>
              <m:t>π</m:t>
            </m:r>
          </m:e>
          <m:sub>
            <m:r>
              <w:rPr>
                <w:rFonts w:ascii="Cambria Math" w:hAnsi="Cambria Math" w:cs="Cambria Math"/>
                <w:color w:val="auto"/>
                <w:sz w:val="20"/>
                <w:szCs w:val="20"/>
              </w:rPr>
              <m:t>P</m:t>
            </m:r>
          </m:sub>
        </m:sSub>
      </m:oMath>
      <w:r w:rsidR="00037A96" w:rsidRPr="003355B8">
        <w:rPr>
          <w:rFonts w:ascii="Times New Roman" w:hAnsi="Times New Roman" w:cs="Times New Roman"/>
          <w:color w:val="auto"/>
          <w:sz w:val="20"/>
          <w:szCs w:val="20"/>
        </w:rPr>
        <w:t xml:space="preserve"> </w:t>
      </w:r>
      <w:r w:rsidR="000460FE" w:rsidRPr="003355B8">
        <w:rPr>
          <w:rFonts w:ascii="Times New Roman" w:hAnsi="Times New Roman" w:cs="Times New Roman"/>
          <w:color w:val="auto"/>
          <w:sz w:val="20"/>
          <w:szCs w:val="20"/>
        </w:rPr>
        <w:t xml:space="preserve">results from the coupled dynamics of the CIS; this means that </w:t>
      </w:r>
      <m:oMath>
        <m:sSub>
          <m:sSubPr>
            <m:ctrlPr>
              <w:rPr>
                <w:rFonts w:ascii="Cambria Math" w:hAnsi="Cambria Math"/>
                <w:color w:val="auto"/>
                <w:sz w:val="20"/>
                <w:szCs w:val="20"/>
              </w:rPr>
            </m:ctrlPr>
          </m:sSubPr>
          <m:e>
            <m:r>
              <w:rPr>
                <w:rFonts w:ascii="Cambria Math" w:hAnsi="Cambria Math" w:cs="Cambria Math"/>
                <w:color w:val="auto"/>
                <w:sz w:val="20"/>
                <w:szCs w:val="20"/>
              </w:rPr>
              <m:t>R</m:t>
            </m:r>
          </m:e>
          <m:sub>
            <m:r>
              <w:rPr>
                <w:rFonts w:ascii="Cambria Math" w:hAnsi="Cambria Math" w:cs="Cambria Math"/>
                <w:color w:val="auto"/>
                <w:sz w:val="20"/>
                <w:szCs w:val="20"/>
              </w:rPr>
              <m:t>PPC</m:t>
            </m:r>
          </m:sub>
        </m:sSub>
      </m:oMath>
      <w:r w:rsidR="000460FE" w:rsidRPr="003355B8">
        <w:rPr>
          <w:rFonts w:ascii="Times New Roman" w:hAnsi="Times New Roman" w:cs="Times New Roman"/>
          <w:color w:val="auto"/>
          <w:sz w:val="20"/>
          <w:szCs w:val="20"/>
        </w:rPr>
        <w:t xml:space="preserve"> has already integrated the dynamics of infrastructure, resource, and resource users </w:t>
      </w:r>
      <w:r w:rsidR="000460FE" w:rsidRPr="003355B8">
        <w:rPr>
          <w:rFonts w:ascii="Times New Roman" w:hAnsi="Times New Roman" w:cs="Times New Roman"/>
          <w:color w:val="auto"/>
          <w:sz w:val="20"/>
          <w:szCs w:val="24"/>
          <w:lang w:val="en-GB" w:eastAsia="de-DE"/>
        </w:rPr>
        <w:t>(</w:t>
      </w:r>
      <w:proofErr w:type="spellStart"/>
      <w:r w:rsidR="000460FE" w:rsidRPr="003355B8">
        <w:rPr>
          <w:rFonts w:ascii="Times New Roman" w:hAnsi="Times New Roman" w:cs="Times New Roman"/>
          <w:color w:val="auto"/>
          <w:sz w:val="20"/>
          <w:szCs w:val="24"/>
          <w:lang w:val="en-GB" w:eastAsia="de-DE"/>
        </w:rPr>
        <w:t>Eqs</w:t>
      </w:r>
      <w:proofErr w:type="spellEnd"/>
      <w:r w:rsidR="000460FE" w:rsidRPr="003355B8">
        <w:rPr>
          <w:rFonts w:ascii="Times New Roman" w:hAnsi="Times New Roman" w:cs="Times New Roman"/>
          <w:color w:val="auto"/>
          <w:sz w:val="20"/>
          <w:szCs w:val="24"/>
          <w:lang w:val="en-GB" w:eastAsia="de-DE"/>
        </w:rPr>
        <w:t>. A1, A4 and A5), making it a metric of the system, not of an individual component.</w:t>
      </w:r>
    </w:p>
    <w:p w14:paraId="645DB61C" w14:textId="31677D5A" w:rsidR="004A25E8" w:rsidRPr="003355B8" w:rsidRDefault="004A25E8" w:rsidP="00CC3D44">
      <w:pPr>
        <w:spacing w:after="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Numerical analysis of the model indicates that the equilibrium becomes unstable when the following Routh-H</w:t>
      </w:r>
      <w:r w:rsidR="00EB6DDF" w:rsidRPr="003355B8">
        <w:rPr>
          <w:rFonts w:ascii="Times New Roman" w:hAnsi="Times New Roman" w:cs="Times New Roman"/>
          <w:color w:val="auto"/>
          <w:sz w:val="20"/>
          <w:szCs w:val="24"/>
          <w:lang w:val="en-GB" w:eastAsia="de-DE"/>
        </w:rPr>
        <w:t>u</w:t>
      </w:r>
      <w:r w:rsidRPr="003355B8">
        <w:rPr>
          <w:rFonts w:ascii="Times New Roman" w:hAnsi="Times New Roman" w:cs="Times New Roman"/>
          <w:color w:val="auto"/>
          <w:sz w:val="20"/>
          <w:szCs w:val="24"/>
          <w:lang w:val="en-GB" w:eastAsia="de-DE"/>
        </w:rPr>
        <w:t>rwitz</w:t>
      </w:r>
      <w:r w:rsidR="00865617" w:rsidRPr="003355B8">
        <w:rPr>
          <w:rFonts w:ascii="Times New Roman" w:hAnsi="Times New Roman" w:cs="Times New Roman"/>
          <w:color w:val="auto"/>
          <w:sz w:val="20"/>
          <w:szCs w:val="24"/>
          <w:lang w:val="en-GB" w:eastAsia="de-DE"/>
        </w:rPr>
        <w:t xml:space="preserve"> </w:t>
      </w:r>
      <w:r w:rsidR="00343F53" w:rsidRPr="003355B8">
        <w:rPr>
          <w:rFonts w:ascii="Times New Roman" w:hAnsi="Times New Roman" w:cs="Times New Roman"/>
          <w:color w:val="auto"/>
          <w:sz w:val="20"/>
          <w:szCs w:val="24"/>
          <w:lang w:val="en-GB" w:eastAsia="de-DE"/>
        </w:rPr>
        <w:t xml:space="preserve">condition </w:t>
      </w:r>
      <w:r w:rsidR="00C41814" w:rsidRPr="003355B8">
        <w:rPr>
          <w:rFonts w:ascii="Times New Roman" w:hAnsi="Times New Roman" w:cs="Times New Roman"/>
          <w:color w:val="auto"/>
          <w:sz w:val="20"/>
          <w:szCs w:val="24"/>
          <w:lang w:val="en-GB" w:eastAsia="de-DE"/>
        </w:rPr>
        <w:t>(</w:t>
      </w:r>
      <w:r w:rsidR="002952CF" w:rsidRPr="003355B8">
        <w:rPr>
          <w:rFonts w:ascii="Times New Roman" w:hAnsi="Times New Roman" w:cs="Times New Roman"/>
          <w:color w:val="auto"/>
          <w:sz w:val="20"/>
          <w:szCs w:val="24"/>
          <w:lang w:val="en-GB" w:eastAsia="de-DE"/>
        </w:rPr>
        <w:t xml:space="preserve">e.g., </w:t>
      </w:r>
      <w:proofErr w:type="gramStart"/>
      <w:r w:rsidR="002952CF" w:rsidRPr="003355B8">
        <w:rPr>
          <w:rFonts w:ascii="Times New Roman" w:hAnsi="Times New Roman" w:cs="Times New Roman"/>
          <w:color w:val="auto"/>
          <w:sz w:val="20"/>
          <w:szCs w:val="24"/>
          <w:lang w:val="en-GB" w:eastAsia="de-DE"/>
        </w:rPr>
        <w:t>May</w:t>
      </w:r>
      <w:r w:rsidR="00C41814" w:rsidRPr="003355B8">
        <w:rPr>
          <w:rFonts w:ascii="Times New Roman" w:hAnsi="Times New Roman" w:cs="Times New Roman"/>
          <w:color w:val="auto"/>
          <w:sz w:val="20"/>
          <w:szCs w:val="24"/>
          <w:lang w:val="en-GB" w:eastAsia="de-DE"/>
        </w:rPr>
        <w:t>,</w:t>
      </w:r>
      <w:proofErr w:type="gramEnd"/>
      <w:r w:rsidR="00C41814" w:rsidRPr="003355B8">
        <w:rPr>
          <w:rFonts w:ascii="Times New Roman" w:hAnsi="Times New Roman" w:cs="Times New Roman"/>
          <w:color w:val="auto"/>
          <w:sz w:val="20"/>
          <w:szCs w:val="24"/>
          <w:lang w:val="en-GB" w:eastAsia="de-DE"/>
        </w:rPr>
        <w:t xml:space="preserve"> 2001;</w:t>
      </w:r>
      <w:r w:rsidR="002952CF" w:rsidRPr="003355B8">
        <w:rPr>
          <w:rFonts w:ascii="Times New Roman" w:hAnsi="Times New Roman" w:cs="Times New Roman"/>
          <w:color w:val="auto"/>
          <w:sz w:val="20"/>
          <w:szCs w:val="24"/>
          <w:lang w:val="en-GB" w:eastAsia="de-DE"/>
        </w:rPr>
        <w:t xml:space="preserve"> </w:t>
      </w:r>
      <w:proofErr w:type="spellStart"/>
      <w:r w:rsidR="00C41814" w:rsidRPr="003355B8">
        <w:rPr>
          <w:rFonts w:ascii="Times New Roman" w:hAnsi="Times New Roman" w:cs="Times New Roman"/>
          <w:color w:val="auto"/>
          <w:sz w:val="20"/>
          <w:szCs w:val="24"/>
          <w:lang w:val="en-GB" w:eastAsia="de-DE"/>
        </w:rPr>
        <w:t>Kot</w:t>
      </w:r>
      <w:proofErr w:type="spellEnd"/>
      <w:r w:rsidR="00C41814" w:rsidRPr="003355B8">
        <w:rPr>
          <w:rFonts w:ascii="Times New Roman" w:hAnsi="Times New Roman" w:cs="Times New Roman"/>
          <w:color w:val="auto"/>
          <w:sz w:val="20"/>
          <w:szCs w:val="24"/>
          <w:lang w:val="en-GB" w:eastAsia="de-DE"/>
        </w:rPr>
        <w:t>, 2001</w:t>
      </w:r>
      <w:r w:rsidR="002952CF"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xml:space="preserve"> is violated:</w:t>
      </w:r>
    </w:p>
    <w:p w14:paraId="3EDEA7ED" w14:textId="7070B7F8" w:rsidR="004A25E8" w:rsidRPr="003355B8" w:rsidRDefault="009E400D" w:rsidP="000053A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120" w:line="240" w:lineRule="auto"/>
        <w:jc w:val="right"/>
        <w:rPr>
          <w:rFonts w:ascii="Cambria Math" w:hAnsi="Cambria Math" w:cs="Cambria Math"/>
          <w:i/>
          <w:color w:val="auto"/>
          <w:sz w:val="20"/>
          <w:szCs w:val="20"/>
        </w:rPr>
      </w:pPr>
      <m:oMathPara>
        <m:oMathParaPr>
          <m:jc m:val="right"/>
        </m:oMathParaPr>
        <m:oMath>
          <m:r>
            <w:rPr>
              <w:rFonts w:ascii="Cambria Math" w:hAnsi="Cambria Math" w:cs="Cambria Math"/>
              <w:color w:val="auto"/>
              <w:sz w:val="20"/>
              <w:szCs w:val="20"/>
            </w:rPr>
            <m:t>D-T</m:t>
          </m:r>
          <m:d>
            <m:dPr>
              <m:ctrlPr>
                <w:rPr>
                  <w:rFonts w:ascii="Cambria Math" w:hAnsi="Cambria Math" w:cs="Cambria Math"/>
                  <w:i/>
                  <w:color w:val="auto"/>
                  <w:sz w:val="20"/>
                  <w:szCs w:val="20"/>
                </w:rPr>
              </m:ctrlPr>
            </m:dPr>
            <m:e>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1,1</m:t>
                  </m:r>
                </m:sub>
              </m:sSub>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2,2</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2,1</m:t>
                  </m:r>
                </m:sub>
              </m:sSub>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1,2</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2,3</m:t>
                  </m:r>
                </m:sub>
              </m:sSub>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3,2</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1,3</m:t>
                  </m:r>
                </m:sub>
              </m:sSub>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3,1</m:t>
                  </m:r>
                </m:sub>
              </m:sSub>
            </m:e>
          </m:d>
          <m:r>
            <w:rPr>
              <w:rFonts w:ascii="Cambria Math" w:hAnsi="Cambria Math" w:cs="Cambria Math"/>
              <w:color w:val="auto"/>
              <w:sz w:val="20"/>
              <w:szCs w:val="20"/>
            </w:rPr>
            <m:t>&gt;0,                                                          (2)</m:t>
          </m:r>
        </m:oMath>
      </m:oMathPara>
    </w:p>
    <w:p w14:paraId="7EDD0749" w14:textId="0B692445" w:rsidR="004A25E8" w:rsidRPr="003355B8" w:rsidRDefault="004A25E8" w:rsidP="00F211D8">
      <w:pPr>
        <w:spacing w:after="120" w:line="360" w:lineRule="auto"/>
        <w:jc w:val="both"/>
        <w:rPr>
          <w:rFonts w:ascii="Times New Roman" w:hAnsi="Times New Roman" w:cs="Times New Roman"/>
          <w:color w:val="auto"/>
          <w:sz w:val="24"/>
          <w:szCs w:val="24"/>
        </w:rPr>
      </w:pPr>
      <w:r w:rsidRPr="003355B8">
        <w:rPr>
          <w:rFonts w:ascii="Times New Roman" w:hAnsi="Times New Roman" w:cs="Times New Roman"/>
          <w:color w:val="auto"/>
          <w:sz w:val="20"/>
          <w:szCs w:val="24"/>
          <w:lang w:val="en-GB" w:eastAsia="de-DE"/>
        </w:rPr>
        <w:t xml:space="preserve">where, </w:t>
      </w:r>
      <m:oMath>
        <m:r>
          <w:rPr>
            <w:rFonts w:ascii="Cambria Math" w:hAnsi="Cambria Math" w:cs="Times New Roman"/>
            <w:color w:val="auto"/>
            <w:sz w:val="20"/>
            <w:szCs w:val="24"/>
            <w:lang w:val="en-GB" w:eastAsia="de-DE"/>
          </w:rPr>
          <m:t>D</m:t>
        </m:r>
      </m:oMath>
      <w:r w:rsidRPr="003355B8">
        <w:rPr>
          <w:rFonts w:ascii="Times New Roman" w:hAnsi="Times New Roman" w:cs="Times New Roman"/>
          <w:color w:val="auto"/>
          <w:sz w:val="20"/>
          <w:szCs w:val="24"/>
          <w:lang w:val="en-GB" w:eastAsia="de-DE"/>
        </w:rPr>
        <w:t xml:space="preserve">, </w:t>
      </w:r>
      <m:oMath>
        <m:r>
          <w:rPr>
            <w:rFonts w:ascii="Cambria Math" w:hAnsi="Cambria Math" w:cs="Times New Roman"/>
            <w:color w:val="auto"/>
            <w:sz w:val="20"/>
            <w:szCs w:val="24"/>
            <w:lang w:val="en-GB" w:eastAsia="de-DE"/>
          </w:rPr>
          <m:t>T</m:t>
        </m:r>
      </m:oMath>
      <w:r w:rsidRPr="003355B8">
        <w:rPr>
          <w:rFonts w:ascii="Times New Roman" w:hAnsi="Times New Roman" w:cs="Times New Roman"/>
          <w:color w:val="auto"/>
          <w:sz w:val="20"/>
          <w:szCs w:val="24"/>
          <w:lang w:val="en-GB" w:eastAsia="de-DE"/>
        </w:rPr>
        <w:t xml:space="preserve">, and </w:t>
      </w:r>
      <m:oMath>
        <m:r>
          <w:rPr>
            <w:rFonts w:ascii="Cambria Math" w:hAnsi="Cambria Math" w:cs="Times New Roman"/>
            <w:color w:val="auto"/>
            <w:sz w:val="20"/>
            <w:szCs w:val="24"/>
            <w:lang w:val="en-GB" w:eastAsia="de-DE"/>
          </w:rPr>
          <m:t>J</m:t>
        </m:r>
        <m:r>
          <m:rPr>
            <m:sty m:val="p"/>
          </m:rPr>
          <w:rPr>
            <w:rFonts w:ascii="Cambria Math" w:hAnsi="Cambria Math" w:cs="Times New Roman"/>
            <w:color w:val="auto"/>
            <w:sz w:val="20"/>
            <w:szCs w:val="24"/>
            <w:lang w:val="en-GB" w:eastAsia="de-DE"/>
          </w:rPr>
          <m:t>'</m:t>
        </m:r>
        <m:r>
          <w:rPr>
            <w:rFonts w:ascii="Cambria Math" w:hAnsi="Cambria Math" w:cs="Times New Roman"/>
            <w:color w:val="auto"/>
            <w:sz w:val="20"/>
            <w:szCs w:val="24"/>
            <w:lang w:val="en-GB" w:eastAsia="de-DE"/>
          </w:rPr>
          <m:t>s</m:t>
        </m:r>
      </m:oMath>
      <w:r w:rsidRPr="003355B8">
        <w:rPr>
          <w:rFonts w:ascii="Times New Roman" w:hAnsi="Times New Roman" w:cs="Times New Roman"/>
          <w:color w:val="auto"/>
          <w:sz w:val="20"/>
          <w:szCs w:val="24"/>
          <w:lang w:val="en-GB" w:eastAsia="de-DE"/>
        </w:rPr>
        <w:t xml:space="preserve"> are determinant, trace, and entries, respectively, of the Jacobian matrix of the dynamical system (Eqs. A1, A4, and A5) evaluated at the </w:t>
      </w:r>
      <w:r w:rsidR="00D231F9" w:rsidRPr="003355B8">
        <w:rPr>
          <w:rFonts w:ascii="Times New Roman" w:hAnsi="Times New Roman" w:cs="Times New Roman"/>
          <w:color w:val="auto"/>
          <w:sz w:val="20"/>
          <w:szCs w:val="24"/>
          <w:lang w:val="en-GB" w:eastAsia="de-DE"/>
        </w:rPr>
        <w:t xml:space="preserve">nontrivial </w:t>
      </w:r>
      <w:r w:rsidRPr="003355B8">
        <w:rPr>
          <w:rFonts w:ascii="Times New Roman" w:hAnsi="Times New Roman" w:cs="Times New Roman"/>
          <w:color w:val="auto"/>
          <w:sz w:val="20"/>
          <w:szCs w:val="24"/>
          <w:lang w:val="en-GB" w:eastAsia="de-DE"/>
        </w:rPr>
        <w:t>equilibrium point (Eq. A6)</w:t>
      </w:r>
      <w:r w:rsidR="00D231F9" w:rsidRPr="003355B8">
        <w:rPr>
          <w:rFonts w:ascii="Times New Roman" w:hAnsi="Times New Roman" w:cs="Times New Roman"/>
          <w:color w:val="auto"/>
          <w:sz w:val="20"/>
          <w:szCs w:val="24"/>
          <w:lang w:val="en-GB" w:eastAsia="de-DE"/>
        </w:rPr>
        <w:t xml:space="preserve">—when </w:t>
      </w:r>
      <w:r w:rsidR="00106A3D" w:rsidRPr="003355B8">
        <w:rPr>
          <w:rFonts w:ascii="Times New Roman" w:hAnsi="Times New Roman" w:cs="Times New Roman"/>
          <w:color w:val="auto"/>
          <w:sz w:val="20"/>
          <w:szCs w:val="24"/>
          <w:lang w:val="en-GB" w:eastAsia="de-DE"/>
        </w:rPr>
        <w:t>such an equilibrium point</w:t>
      </w:r>
      <w:r w:rsidR="00D231F9" w:rsidRPr="003355B8">
        <w:rPr>
          <w:rFonts w:ascii="Times New Roman" w:hAnsi="Times New Roman" w:cs="Times New Roman"/>
          <w:color w:val="auto"/>
          <w:sz w:val="20"/>
          <w:szCs w:val="24"/>
          <w:lang w:val="en-GB" w:eastAsia="de-DE"/>
        </w:rPr>
        <w:t xml:space="preserve"> exists.</w:t>
      </w:r>
      <w:r w:rsidRPr="003355B8">
        <w:rPr>
          <w:rFonts w:ascii="Times New Roman" w:hAnsi="Times New Roman" w:cs="Times New Roman"/>
          <w:color w:val="auto"/>
          <w:sz w:val="20"/>
          <w:szCs w:val="24"/>
          <w:lang w:val="en-GB" w:eastAsia="de-DE"/>
        </w:rPr>
        <w:t xml:space="preserve"> </w:t>
      </w:r>
      <w:r w:rsidR="00A91D3B" w:rsidRPr="003355B8">
        <w:rPr>
          <w:rFonts w:ascii="Times New Roman" w:hAnsi="Times New Roman" w:cs="Times New Roman"/>
          <w:color w:val="auto"/>
          <w:sz w:val="20"/>
          <w:szCs w:val="24"/>
          <w:lang w:val="en-GB" w:eastAsia="de-DE"/>
        </w:rPr>
        <w:lastRenderedPageBreak/>
        <w:t>Following the guideline provided by the three desirable properties above</w:t>
      </w:r>
      <w:r w:rsidRPr="003355B8">
        <w:rPr>
          <w:rFonts w:ascii="Times New Roman" w:hAnsi="Times New Roman" w:cs="Times New Roman"/>
          <w:color w:val="auto"/>
          <w:sz w:val="20"/>
          <w:szCs w:val="24"/>
          <w:lang w:val="en-GB" w:eastAsia="de-DE"/>
        </w:rPr>
        <w:t xml:space="preserve">, we </w:t>
      </w:r>
      <w:r w:rsidR="00A91D3B" w:rsidRPr="003355B8">
        <w:rPr>
          <w:rFonts w:ascii="Times New Roman" w:hAnsi="Times New Roman" w:cs="Times New Roman"/>
          <w:color w:val="auto"/>
          <w:sz w:val="20"/>
          <w:szCs w:val="24"/>
          <w:lang w:val="en-GB" w:eastAsia="de-DE"/>
        </w:rPr>
        <w:t xml:space="preserve">rearrange terms in Eq. (2) and </w:t>
      </w:r>
      <w:r w:rsidRPr="003355B8">
        <w:rPr>
          <w:rFonts w:ascii="Times New Roman" w:hAnsi="Times New Roman" w:cs="Times New Roman"/>
          <w:color w:val="auto"/>
          <w:sz w:val="20"/>
          <w:szCs w:val="24"/>
          <w:lang w:val="en-GB" w:eastAsia="de-DE"/>
        </w:rPr>
        <w:t>define the resilience of the system</w:t>
      </w:r>
      <w:r w:rsidR="00A91D3B" w:rsidRPr="003355B8">
        <w:rPr>
          <w:rFonts w:ascii="Times New Roman" w:hAnsi="Times New Roman" w:cs="Times New Roman"/>
          <w:color w:val="auto"/>
          <w:sz w:val="20"/>
          <w:szCs w:val="24"/>
          <w:lang w:val="en-GB" w:eastAsia="de-DE"/>
        </w:rPr>
        <w:t xml:space="preserve"> against instability</w:t>
      </w:r>
      <w:r w:rsidR="00BB5171" w:rsidRPr="003355B8">
        <w:rPr>
          <w:rFonts w:ascii="Times New Roman" w:hAnsi="Times New Roman" w:cs="Times New Roman"/>
          <w:color w:val="auto"/>
          <w:sz w:val="20"/>
          <w:szCs w:val="24"/>
          <w:lang w:val="en-GB" w:eastAsia="de-DE"/>
        </w:rPr>
        <w:t xml:space="preserve"> (increased probability of collapse of </w:t>
      </w:r>
      <w:r w:rsidR="0057573A" w:rsidRPr="003355B8">
        <w:rPr>
          <w:rFonts w:ascii="Times New Roman" w:hAnsi="Times New Roman" w:cs="Times New Roman"/>
          <w:color w:val="auto"/>
          <w:sz w:val="20"/>
          <w:szCs w:val="24"/>
          <w:lang w:val="en-GB" w:eastAsia="de-DE"/>
        </w:rPr>
        <w:t>infrastructure)</w:t>
      </w:r>
      <w:r w:rsidRPr="003355B8">
        <w:rPr>
          <w:rFonts w:ascii="Times New Roman" w:hAnsi="Times New Roman" w:cs="Times New Roman"/>
          <w:color w:val="auto"/>
          <w:sz w:val="20"/>
          <w:szCs w:val="24"/>
          <w:lang w:val="en-GB" w:eastAsia="de-DE"/>
        </w:rPr>
        <w:t xml:space="preserve"> as follows</w:t>
      </w:r>
      <w:r w:rsidRPr="003355B8">
        <w:rPr>
          <w:rFonts w:ascii="Times New Roman" w:hAnsi="Times New Roman" w:cs="Times New Roman"/>
          <w:color w:val="auto"/>
          <w:sz w:val="24"/>
          <w:szCs w:val="24"/>
        </w:rPr>
        <w:t>:</w:t>
      </w:r>
    </w:p>
    <w:p w14:paraId="006D73B5" w14:textId="446C9135" w:rsidR="004A25E8" w:rsidRPr="003355B8" w:rsidRDefault="00586A79" w:rsidP="00C13E3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after="120" w:line="240" w:lineRule="auto"/>
        <w:jc w:val="center"/>
        <w:rPr>
          <w:rFonts w:ascii="Times New Roman" w:hAnsi="Times New Roman" w:cs="Times New Roman"/>
          <w:color w:val="auto"/>
          <w:sz w:val="20"/>
          <w:szCs w:val="24"/>
          <w:lang w:val="en-GB" w:eastAsia="de-DE"/>
        </w:rPr>
      </w:pPr>
      <m:oMathPara>
        <m:oMathParaPr>
          <m:jc m:val="right"/>
        </m:oMathParaPr>
        <m:oMath>
          <m:sSub>
            <m:sSubPr>
              <m:ctrlPr>
                <w:rPr>
                  <w:rFonts w:ascii="Cambria Math" w:hAnsi="Cambria Math" w:cs="Cambria Math"/>
                  <w:i/>
                  <w:color w:val="auto"/>
                  <w:sz w:val="20"/>
                  <w:szCs w:val="20"/>
                </w:rPr>
              </m:ctrlPr>
            </m:sSubPr>
            <m:e>
              <m:r>
                <w:rPr>
                  <w:rFonts w:ascii="Cambria Math" w:hAnsi="Cambria Math" w:cs="Cambria Math"/>
                  <w:color w:val="auto"/>
                  <w:sz w:val="20"/>
                  <w:szCs w:val="20"/>
                </w:rPr>
                <m:t>R</m:t>
              </m:r>
            </m:e>
            <m:sub>
              <m:r>
                <w:rPr>
                  <w:rFonts w:ascii="Cambria Math" w:hAnsi="Cambria Math" w:cs="Cambria Math"/>
                  <w:color w:val="auto"/>
                  <w:sz w:val="20"/>
                  <w:szCs w:val="20"/>
                </w:rPr>
                <m:t>stability</m:t>
              </m:r>
            </m:sub>
          </m:sSub>
          <m:r>
            <w:rPr>
              <w:rFonts w:ascii="Cambria Math" w:hAnsi="Cambria Math" w:cs="Cambria Math"/>
              <w:color w:val="auto"/>
              <w:sz w:val="20"/>
              <w:szCs w:val="20"/>
            </w:rPr>
            <m:t>=</m:t>
          </m:r>
          <m:f>
            <m:fPr>
              <m:ctrlPr>
                <w:rPr>
                  <w:rFonts w:ascii="Cambria Math" w:hAnsi="Cambria Math" w:cs="Cambria Math"/>
                  <w:i/>
                  <w:color w:val="auto"/>
                  <w:sz w:val="20"/>
                  <w:szCs w:val="20"/>
                </w:rPr>
              </m:ctrlPr>
            </m:fPr>
            <m:num>
              <m:r>
                <w:rPr>
                  <w:rFonts w:ascii="Cambria Math" w:hAnsi="Cambria Math" w:cs="Cambria Math"/>
                  <w:color w:val="auto"/>
                  <w:sz w:val="20"/>
                  <w:szCs w:val="20"/>
                </w:rPr>
                <m:t>D</m:t>
              </m:r>
            </m:num>
            <m:den>
              <m:d>
                <m:dPr>
                  <m:begChr m:val="|"/>
                  <m:endChr m:val="|"/>
                  <m:ctrlPr>
                    <w:rPr>
                      <w:rFonts w:ascii="Cambria Math" w:hAnsi="Cambria Math" w:cs="Cambria Math"/>
                      <w:i/>
                      <w:color w:val="auto"/>
                      <w:sz w:val="20"/>
                      <w:szCs w:val="20"/>
                    </w:rPr>
                  </m:ctrlPr>
                </m:dPr>
                <m:e>
                  <m:r>
                    <w:rPr>
                      <w:rFonts w:ascii="Cambria Math" w:hAnsi="Cambria Math" w:cs="Cambria Math"/>
                      <w:color w:val="auto"/>
                      <w:sz w:val="20"/>
                      <w:szCs w:val="20"/>
                    </w:rPr>
                    <m:t>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1,1</m:t>
                      </m:r>
                    </m:sub>
                  </m:sSub>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2,2</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2,1</m:t>
                      </m:r>
                    </m:sub>
                  </m:sSub>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1,2</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2,3</m:t>
                      </m:r>
                    </m:sub>
                  </m:sSub>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3,2</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1,3</m:t>
                      </m:r>
                    </m:sub>
                  </m:sSub>
                  <m:sSub>
                    <m:sSubPr>
                      <m:ctrlPr>
                        <w:rPr>
                          <w:rFonts w:ascii="Cambria Math" w:hAnsi="Cambria Math" w:cs="Cambria Math"/>
                          <w:i/>
                          <w:color w:val="auto"/>
                          <w:sz w:val="20"/>
                          <w:szCs w:val="20"/>
                        </w:rPr>
                      </m:ctrlPr>
                    </m:sSubPr>
                    <m:e>
                      <m:r>
                        <w:rPr>
                          <w:rFonts w:ascii="Cambria Math" w:hAnsi="Cambria Math" w:cs="Cambria Math"/>
                          <w:color w:val="auto"/>
                          <w:sz w:val="20"/>
                          <w:szCs w:val="20"/>
                        </w:rPr>
                        <m:t>J</m:t>
                      </m:r>
                    </m:e>
                    <m:sub>
                      <m:r>
                        <w:rPr>
                          <w:rFonts w:ascii="Cambria Math" w:hAnsi="Cambria Math" w:cs="Cambria Math"/>
                          <w:color w:val="auto"/>
                          <w:sz w:val="20"/>
                          <w:szCs w:val="20"/>
                        </w:rPr>
                        <m:t>3,1</m:t>
                      </m:r>
                    </m:sub>
                  </m:sSub>
                  <m:r>
                    <w:rPr>
                      <w:rFonts w:ascii="Cambria Math" w:hAnsi="Cambria Math" w:cs="Cambria Math"/>
                      <w:color w:val="auto"/>
                      <w:sz w:val="20"/>
                      <w:szCs w:val="20"/>
                    </w:rPr>
                    <m:t>)</m:t>
                  </m:r>
                </m:e>
              </m:d>
            </m:den>
          </m:f>
          <m:r>
            <w:rPr>
              <w:rFonts w:ascii="Cambria Math" w:hAnsi="Cambria Math" w:cs="Cambria Math"/>
              <w:color w:val="auto"/>
              <w:sz w:val="20"/>
              <w:szCs w:val="20"/>
            </w:rPr>
            <m:t xml:space="preserve">-1,                                                  </m:t>
          </m:r>
          <m:r>
            <m:rPr>
              <m:sty m:val="p"/>
            </m:rPr>
            <w:rPr>
              <w:rFonts w:ascii="Cambria Math" w:hAnsi="Cambria Math" w:cs="Times New Roman"/>
              <w:color w:val="auto"/>
              <w:sz w:val="20"/>
              <w:szCs w:val="20"/>
            </w:rPr>
            <m:t xml:space="preserve"> </m:t>
          </m:r>
          <m:r>
            <m:rPr>
              <m:sty m:val="p"/>
            </m:rPr>
            <w:rPr>
              <w:rFonts w:ascii="Cambria Math" w:hAnsi="Cambria Math" w:cs="Times New Roman"/>
              <w:color w:val="auto"/>
              <w:sz w:val="20"/>
              <w:szCs w:val="24"/>
              <w:lang w:val="en-GB" w:eastAsia="de-DE"/>
            </w:rPr>
            <m:t>(3)</m:t>
          </m:r>
        </m:oMath>
      </m:oMathPara>
    </w:p>
    <w:p w14:paraId="1F44476B" w14:textId="1956A067" w:rsidR="00CE0581" w:rsidRPr="003355B8" w:rsidRDefault="003F6332" w:rsidP="00F211D8">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This formulation is parallel to that of the first resilience metric</w:t>
      </w:r>
      <w:r w:rsidR="00FA1DBC" w:rsidRPr="003355B8">
        <w:rPr>
          <w:rFonts w:ascii="Times New Roman" w:hAnsi="Times New Roman" w:cs="Times New Roman"/>
          <w:color w:val="auto"/>
          <w:sz w:val="20"/>
          <w:szCs w:val="24"/>
          <w:lang w:val="en-GB" w:eastAsia="de-DE"/>
        </w:rPr>
        <w:t xml:space="preserve"> (Eq. 1); it </w:t>
      </w:r>
      <w:r w:rsidR="00946FC7" w:rsidRPr="003355B8">
        <w:rPr>
          <w:rFonts w:ascii="Times New Roman" w:hAnsi="Times New Roman" w:cs="Times New Roman"/>
          <w:color w:val="auto"/>
          <w:sz w:val="20"/>
          <w:szCs w:val="24"/>
          <w:lang w:val="en-GB" w:eastAsia="de-DE"/>
        </w:rPr>
        <w:t>possesses the three properties:</w:t>
      </w:r>
      <w:r w:rsidR="00FA1DBC" w:rsidRPr="003355B8">
        <w:rPr>
          <w:rFonts w:ascii="Times New Roman" w:hAnsi="Times New Roman" w:cs="Times New Roman"/>
          <w:color w:val="auto"/>
          <w:sz w:val="20"/>
          <w:szCs w:val="24"/>
          <w:lang w:val="en-GB" w:eastAsia="de-DE"/>
        </w:rPr>
        <w:t xml:space="preserve">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stability</m:t>
            </m:r>
          </m:sub>
        </m:sSub>
      </m:oMath>
      <w:r w:rsidR="00946FC7" w:rsidRPr="003355B8">
        <w:rPr>
          <w:rFonts w:ascii="Times New Roman" w:hAnsi="Times New Roman" w:cs="Times New Roman"/>
          <w:color w:val="auto"/>
          <w:sz w:val="20"/>
          <w:szCs w:val="24"/>
          <w:lang w:val="en-GB" w:eastAsia="de-DE"/>
        </w:rPr>
        <w:t xml:space="preserve"> of </w:t>
      </w:r>
      <w:r w:rsidR="009F2842" w:rsidRPr="003355B8">
        <w:rPr>
          <w:rFonts w:ascii="Times New Roman" w:hAnsi="Times New Roman" w:cs="Times New Roman"/>
          <w:color w:val="auto"/>
          <w:sz w:val="20"/>
          <w:szCs w:val="24"/>
          <w:lang w:val="en-GB" w:eastAsia="de-DE"/>
        </w:rPr>
        <w:t>zero</w:t>
      </w:r>
      <w:r w:rsidR="00FA1DBC" w:rsidRPr="003355B8">
        <w:rPr>
          <w:rFonts w:ascii="Times New Roman" w:hAnsi="Times New Roman" w:cs="Times New Roman"/>
          <w:color w:val="auto"/>
          <w:sz w:val="20"/>
          <w:szCs w:val="24"/>
          <w:lang w:val="en-GB" w:eastAsia="de-DE"/>
        </w:rPr>
        <w:t xml:space="preserve"> indicat</w:t>
      </w:r>
      <w:r w:rsidR="00946FC7" w:rsidRPr="003355B8">
        <w:rPr>
          <w:rFonts w:ascii="Times New Roman" w:hAnsi="Times New Roman" w:cs="Times New Roman"/>
          <w:color w:val="auto"/>
          <w:sz w:val="20"/>
          <w:szCs w:val="24"/>
          <w:lang w:val="en-GB" w:eastAsia="de-DE"/>
        </w:rPr>
        <w:t>es</w:t>
      </w:r>
      <w:r w:rsidR="00FA1DBC" w:rsidRPr="003355B8">
        <w:rPr>
          <w:rFonts w:ascii="Times New Roman" w:hAnsi="Times New Roman" w:cs="Times New Roman"/>
          <w:color w:val="auto"/>
          <w:sz w:val="20"/>
          <w:szCs w:val="24"/>
          <w:lang w:val="en-GB" w:eastAsia="de-DE"/>
        </w:rPr>
        <w:t xml:space="preserve"> the boundary be</w:t>
      </w:r>
      <w:r w:rsidR="00946FC7" w:rsidRPr="003355B8">
        <w:rPr>
          <w:rFonts w:ascii="Times New Roman" w:hAnsi="Times New Roman" w:cs="Times New Roman"/>
          <w:color w:val="auto"/>
          <w:sz w:val="20"/>
          <w:szCs w:val="24"/>
          <w:lang w:val="en-GB" w:eastAsia="de-DE"/>
        </w:rPr>
        <w:t xml:space="preserve">tween stability and instability; </w:t>
      </w:r>
      <w:r w:rsidR="00FA1DBC" w:rsidRPr="003355B8">
        <w:rPr>
          <w:rFonts w:ascii="Times New Roman" w:hAnsi="Times New Roman" w:cs="Times New Roman"/>
          <w:color w:val="auto"/>
          <w:sz w:val="20"/>
          <w:szCs w:val="24"/>
          <w:lang w:val="en-GB" w:eastAsia="de-DE"/>
        </w:rPr>
        <w:t xml:space="preserve">positive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stability</m:t>
            </m:r>
          </m:sub>
        </m:sSub>
      </m:oMath>
      <w:r w:rsidR="00946FC7" w:rsidRPr="003355B8">
        <w:rPr>
          <w:rFonts w:ascii="Times New Roman" w:hAnsi="Times New Roman" w:cs="Times New Roman"/>
          <w:color w:val="auto"/>
          <w:sz w:val="20"/>
          <w:szCs w:val="24"/>
          <w:lang w:val="en-GB" w:eastAsia="de-DE"/>
        </w:rPr>
        <w:t xml:space="preserve"> </w:t>
      </w:r>
      <w:r w:rsidR="00FA1DBC" w:rsidRPr="003355B8">
        <w:rPr>
          <w:rFonts w:ascii="Times New Roman" w:hAnsi="Times New Roman" w:cs="Times New Roman"/>
          <w:color w:val="auto"/>
          <w:sz w:val="20"/>
          <w:szCs w:val="24"/>
          <w:lang w:val="en-GB" w:eastAsia="de-DE"/>
        </w:rPr>
        <w:t xml:space="preserve">means </w:t>
      </w:r>
      <w:r w:rsidR="00CE0581" w:rsidRPr="003355B8">
        <w:rPr>
          <w:rFonts w:ascii="Times New Roman" w:hAnsi="Times New Roman" w:cs="Times New Roman"/>
          <w:color w:val="auto"/>
          <w:sz w:val="20"/>
          <w:szCs w:val="24"/>
          <w:lang w:val="en-GB" w:eastAsia="de-DE"/>
        </w:rPr>
        <w:t>the system at the equilibrium point is stable</w:t>
      </w:r>
      <w:r w:rsidR="00946FC7" w:rsidRPr="003355B8">
        <w:rPr>
          <w:rFonts w:ascii="Times New Roman" w:hAnsi="Times New Roman" w:cs="Times New Roman"/>
          <w:color w:val="auto"/>
          <w:sz w:val="20"/>
          <w:szCs w:val="24"/>
          <w:lang w:val="en-GB" w:eastAsia="de-DE"/>
        </w:rPr>
        <w:t>;</w:t>
      </w:r>
      <w:r w:rsidR="00FA1DBC" w:rsidRPr="003355B8">
        <w:rPr>
          <w:rFonts w:ascii="Times New Roman" w:hAnsi="Times New Roman" w:cs="Times New Roman"/>
          <w:color w:val="auto"/>
          <w:sz w:val="20"/>
          <w:szCs w:val="24"/>
          <w:lang w:val="en-GB" w:eastAsia="de-DE"/>
        </w:rPr>
        <w:t xml:space="preserve"> and the magnitudes of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stability</m:t>
            </m:r>
          </m:sub>
        </m:sSub>
      </m:oMath>
      <w:r w:rsidR="00FA1DBC" w:rsidRPr="003355B8">
        <w:rPr>
          <w:rFonts w:ascii="Times New Roman" w:hAnsi="Times New Roman" w:cs="Times New Roman"/>
          <w:color w:val="auto"/>
          <w:sz w:val="20"/>
          <w:szCs w:val="24"/>
          <w:lang w:val="en-GB" w:eastAsia="de-DE"/>
        </w:rPr>
        <w:t xml:space="preserve"> are comparable to those of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PPC</m:t>
            </m:r>
          </m:sub>
        </m:sSub>
      </m:oMath>
      <w:r w:rsidR="00FA1DBC" w:rsidRPr="003355B8">
        <w:rPr>
          <w:rFonts w:ascii="Times New Roman" w:hAnsi="Times New Roman" w:cs="Times New Roman"/>
          <w:color w:val="auto"/>
          <w:sz w:val="20"/>
          <w:szCs w:val="24"/>
          <w:lang w:val="en-GB" w:eastAsia="de-DE"/>
        </w:rPr>
        <w:t xml:space="preserve"> (see Fig. 1).</w:t>
      </w:r>
      <w:r w:rsidR="00CE0581" w:rsidRPr="003355B8">
        <w:rPr>
          <w:rFonts w:ascii="Times New Roman" w:hAnsi="Times New Roman" w:cs="Times New Roman"/>
          <w:color w:val="auto"/>
          <w:sz w:val="20"/>
          <w:szCs w:val="24"/>
          <w:lang w:val="en-GB" w:eastAsia="de-DE"/>
        </w:rPr>
        <w:t xml:space="preserve"> </w:t>
      </w:r>
      <w:r w:rsidR="000460FE" w:rsidRPr="003355B8">
        <w:rPr>
          <w:rFonts w:ascii="Times New Roman" w:hAnsi="Times New Roman" w:cs="Times New Roman"/>
          <w:color w:val="auto"/>
          <w:sz w:val="20"/>
          <w:szCs w:val="24"/>
          <w:lang w:val="en-GB" w:eastAsia="de-DE"/>
        </w:rPr>
        <w:t xml:space="preserve">Note that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stability</m:t>
            </m:r>
          </m:sub>
        </m:sSub>
      </m:oMath>
      <w:r w:rsidR="000460FE" w:rsidRPr="003355B8">
        <w:rPr>
          <w:rFonts w:ascii="Times New Roman" w:hAnsi="Times New Roman" w:cs="Times New Roman"/>
          <w:color w:val="auto"/>
          <w:sz w:val="20"/>
          <w:szCs w:val="24"/>
          <w:lang w:val="en-GB" w:eastAsia="de-DE"/>
        </w:rPr>
        <w:t>, too,</w:t>
      </w:r>
      <w:r w:rsidR="00CE0581" w:rsidRPr="003355B8">
        <w:rPr>
          <w:rFonts w:ascii="Times New Roman" w:hAnsi="Times New Roman" w:cs="Times New Roman"/>
          <w:color w:val="auto"/>
          <w:sz w:val="20"/>
          <w:szCs w:val="24"/>
          <w:lang w:val="en-GB" w:eastAsia="de-DE"/>
        </w:rPr>
        <w:t xml:space="preserve"> is determined from the coupled dynamics of the </w:t>
      </w:r>
      <w:r w:rsidR="000460FE" w:rsidRPr="003355B8">
        <w:rPr>
          <w:rFonts w:ascii="Times New Roman" w:hAnsi="Times New Roman" w:cs="Times New Roman"/>
          <w:color w:val="auto"/>
          <w:sz w:val="20"/>
          <w:szCs w:val="24"/>
          <w:lang w:val="en-GB" w:eastAsia="de-DE"/>
        </w:rPr>
        <w:t xml:space="preserve">CIS; </w:t>
      </w:r>
      <w:r w:rsidR="00CE0581" w:rsidRPr="003355B8">
        <w:rPr>
          <w:rFonts w:ascii="Times New Roman" w:hAnsi="Times New Roman" w:cs="Times New Roman"/>
          <w:color w:val="auto"/>
          <w:sz w:val="20"/>
          <w:szCs w:val="24"/>
          <w:lang w:val="en-GB" w:eastAsia="de-DE"/>
        </w:rPr>
        <w:t xml:space="preserve">this means that it has </w:t>
      </w:r>
      <w:r w:rsidR="00A56022" w:rsidRPr="003355B8">
        <w:rPr>
          <w:rFonts w:ascii="Times New Roman" w:hAnsi="Times New Roman" w:cs="Times New Roman"/>
          <w:color w:val="auto"/>
          <w:sz w:val="20"/>
          <w:szCs w:val="24"/>
          <w:lang w:val="en-GB" w:eastAsia="de-DE"/>
        </w:rPr>
        <w:t>integrated</w:t>
      </w:r>
      <w:r w:rsidR="00CE0581" w:rsidRPr="003355B8">
        <w:rPr>
          <w:rFonts w:ascii="Times New Roman" w:hAnsi="Times New Roman" w:cs="Times New Roman"/>
          <w:color w:val="auto"/>
          <w:sz w:val="20"/>
          <w:szCs w:val="24"/>
          <w:lang w:val="en-GB" w:eastAsia="de-DE"/>
        </w:rPr>
        <w:t xml:space="preserve"> the dynamics of </w:t>
      </w:r>
      <w:r w:rsidR="00A56022" w:rsidRPr="003355B8">
        <w:rPr>
          <w:rFonts w:ascii="Times New Roman" w:hAnsi="Times New Roman" w:cs="Times New Roman"/>
          <w:color w:val="auto"/>
          <w:sz w:val="20"/>
          <w:szCs w:val="24"/>
          <w:lang w:val="en-GB" w:eastAsia="de-DE"/>
        </w:rPr>
        <w:t xml:space="preserve">infrastructure, </w:t>
      </w:r>
      <w:r w:rsidR="00CE0581" w:rsidRPr="003355B8">
        <w:rPr>
          <w:rFonts w:ascii="Times New Roman" w:hAnsi="Times New Roman" w:cs="Times New Roman"/>
          <w:color w:val="auto"/>
          <w:sz w:val="20"/>
          <w:szCs w:val="24"/>
          <w:lang w:val="en-GB" w:eastAsia="de-DE"/>
        </w:rPr>
        <w:t>resource, and resource users (</w:t>
      </w:r>
      <w:proofErr w:type="spellStart"/>
      <w:r w:rsidR="00CE0581" w:rsidRPr="003355B8">
        <w:rPr>
          <w:rFonts w:ascii="Times New Roman" w:hAnsi="Times New Roman" w:cs="Times New Roman"/>
          <w:color w:val="auto"/>
          <w:sz w:val="20"/>
          <w:szCs w:val="24"/>
          <w:lang w:val="en-GB" w:eastAsia="de-DE"/>
        </w:rPr>
        <w:t>Eqs</w:t>
      </w:r>
      <w:proofErr w:type="spellEnd"/>
      <w:r w:rsidR="00CE0581" w:rsidRPr="003355B8">
        <w:rPr>
          <w:rFonts w:ascii="Times New Roman" w:hAnsi="Times New Roman" w:cs="Times New Roman"/>
          <w:color w:val="auto"/>
          <w:sz w:val="20"/>
          <w:szCs w:val="24"/>
          <w:lang w:val="en-GB" w:eastAsia="de-DE"/>
        </w:rPr>
        <w:t>. A1, A4 and A5</w:t>
      </w:r>
      <w:r w:rsidR="00037A96" w:rsidRPr="003355B8">
        <w:rPr>
          <w:rFonts w:ascii="Times New Roman" w:hAnsi="Times New Roman" w:cs="Times New Roman"/>
          <w:color w:val="auto"/>
          <w:sz w:val="20"/>
          <w:szCs w:val="24"/>
          <w:lang w:val="en-GB" w:eastAsia="de-DE"/>
        </w:rPr>
        <w:t>)</w:t>
      </w:r>
      <w:r w:rsidR="00A56022" w:rsidRPr="003355B8">
        <w:rPr>
          <w:rFonts w:ascii="Times New Roman" w:hAnsi="Times New Roman" w:cs="Times New Roman"/>
          <w:color w:val="auto"/>
          <w:sz w:val="20"/>
          <w:szCs w:val="24"/>
          <w:lang w:val="en-GB" w:eastAsia="de-DE"/>
        </w:rPr>
        <w:t>.</w:t>
      </w:r>
    </w:p>
    <w:p w14:paraId="01FCA7B9" w14:textId="03D3F958" w:rsidR="004A25E8" w:rsidRPr="003355B8" w:rsidRDefault="004A25E8" w:rsidP="00F211D8">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This allows us to meaningfully define the overall system resilience as the minimum between the </w:t>
      </w:r>
      <w:proofErr w:type="gramStart"/>
      <w:r w:rsidRPr="003355B8">
        <w:rPr>
          <w:rFonts w:ascii="Times New Roman" w:hAnsi="Times New Roman" w:cs="Times New Roman"/>
          <w:color w:val="auto"/>
          <w:sz w:val="20"/>
          <w:szCs w:val="24"/>
          <w:lang w:val="en-GB" w:eastAsia="de-DE"/>
        </w:rPr>
        <w:t>two resilience</w:t>
      </w:r>
      <w:proofErr w:type="gramEnd"/>
      <w:r w:rsidRPr="003355B8">
        <w:rPr>
          <w:rFonts w:ascii="Times New Roman" w:hAnsi="Times New Roman" w:cs="Times New Roman"/>
          <w:color w:val="auto"/>
          <w:sz w:val="20"/>
          <w:szCs w:val="24"/>
          <w:lang w:val="en-GB" w:eastAsia="de-DE"/>
        </w:rPr>
        <w:t xml:space="preserve"> metrics, namely</w:t>
      </w:r>
      <w:r w:rsidR="00C836AF" w:rsidRPr="003355B8">
        <w:rPr>
          <w:rFonts w:ascii="Times New Roman" w:hAnsi="Times New Roman" w:cs="Times New Roman"/>
          <w:color w:val="auto"/>
          <w:sz w:val="20"/>
          <w:szCs w:val="24"/>
          <w:lang w:val="en-GB" w:eastAsia="de-DE"/>
        </w:rPr>
        <w:t>:</w:t>
      </w:r>
    </w:p>
    <w:p w14:paraId="258EB405" w14:textId="1904E433" w:rsidR="004A25E8" w:rsidRPr="003355B8" w:rsidRDefault="00586A79" w:rsidP="008779AF">
      <w:pPr>
        <w:spacing w:after="120" w:line="240" w:lineRule="auto"/>
        <w:jc w:val="right"/>
        <w:rPr>
          <w:rFonts w:ascii="Cambria Math" w:hAnsi="Cambria Math" w:cs="Cambria Math"/>
          <w:i/>
          <w:color w:val="auto"/>
          <w:sz w:val="20"/>
          <w:szCs w:val="20"/>
        </w:rPr>
      </w:pPr>
      <m:oMathPara>
        <m:oMathParaPr>
          <m:jc m:val="right"/>
        </m:oMathParaPr>
        <m:oMath>
          <m:sSub>
            <m:sSubPr>
              <m:ctrlPr>
                <w:rPr>
                  <w:rFonts w:ascii="Cambria Math" w:hAnsi="Cambria Math" w:cs="Cambria Math"/>
                  <w:i/>
                  <w:color w:val="auto"/>
                  <w:sz w:val="20"/>
                  <w:szCs w:val="20"/>
                </w:rPr>
              </m:ctrlPr>
            </m:sSubPr>
            <m:e>
              <m:r>
                <w:rPr>
                  <w:rFonts w:ascii="Cambria Math" w:hAnsi="Cambria Math" w:cs="Cambria Math"/>
                  <w:color w:val="auto"/>
                  <w:sz w:val="20"/>
                  <w:szCs w:val="20"/>
                </w:rPr>
                <m:t>R</m:t>
              </m:r>
            </m:e>
            <m:sub>
              <m:r>
                <w:rPr>
                  <w:rFonts w:ascii="Cambria Math" w:hAnsi="Cambria Math" w:cs="Cambria Math"/>
                  <w:color w:val="auto"/>
                  <w:sz w:val="20"/>
                  <w:szCs w:val="20"/>
                </w:rPr>
                <m:t>system</m:t>
              </m:r>
            </m:sub>
          </m:sSub>
          <m:r>
            <w:rPr>
              <w:rFonts w:ascii="Cambria Math" w:hAnsi="Cambria Math" w:cs="Cambria Math"/>
              <w:color w:val="auto"/>
              <w:sz w:val="20"/>
              <w:szCs w:val="20"/>
            </w:rPr>
            <m:t>=</m:t>
          </m:r>
          <m:d>
            <m:dPr>
              <m:begChr m:val="{"/>
              <m:endChr m:val=""/>
              <m:ctrlPr>
                <w:rPr>
                  <w:rFonts w:ascii="Cambria Math" w:hAnsi="Cambria Math" w:cs="Cambria Math"/>
                  <w:i/>
                  <w:color w:val="auto"/>
                  <w:sz w:val="20"/>
                  <w:szCs w:val="20"/>
                </w:rPr>
              </m:ctrlPr>
            </m:dPr>
            <m:e>
              <m:eqArr>
                <m:eqArrPr>
                  <m:ctrlPr>
                    <w:rPr>
                      <w:rFonts w:ascii="Cambria Math" w:hAnsi="Cambria Math" w:cs="Cambria Math"/>
                      <w:i/>
                      <w:color w:val="auto"/>
                      <w:sz w:val="20"/>
                      <w:szCs w:val="20"/>
                    </w:rPr>
                  </m:ctrlPr>
                </m:eqArrPr>
                <m:e>
                  <m:r>
                    <w:rPr>
                      <w:rFonts w:ascii="Cambria Math" w:hAnsi="Cambria Math" w:cs="Cambria Math"/>
                      <w:color w:val="auto"/>
                      <w:sz w:val="20"/>
                      <w:szCs w:val="20"/>
                    </w:rPr>
                    <m:t>Min</m:t>
                  </m:r>
                  <m:d>
                    <m:dPr>
                      <m:begChr m:val="["/>
                      <m:endChr m:val="]"/>
                      <m:ctrlPr>
                        <w:rPr>
                          <w:rFonts w:ascii="Cambria Math" w:hAnsi="Cambria Math" w:cs="Cambria Math"/>
                          <w:i/>
                          <w:color w:val="auto"/>
                          <w:sz w:val="20"/>
                          <w:szCs w:val="20"/>
                        </w:rPr>
                      </m:ctrlPr>
                    </m:dPr>
                    <m:e>
                      <m:sSub>
                        <m:sSubPr>
                          <m:ctrlPr>
                            <w:rPr>
                              <w:rFonts w:ascii="Cambria Math" w:hAnsi="Cambria Math" w:cs="Cambria Math"/>
                              <w:i/>
                              <w:color w:val="auto"/>
                              <w:sz w:val="20"/>
                              <w:szCs w:val="20"/>
                            </w:rPr>
                          </m:ctrlPr>
                        </m:sSubPr>
                        <m:e>
                          <m:r>
                            <w:rPr>
                              <w:rFonts w:ascii="Cambria Math" w:hAnsi="Cambria Math" w:cs="Cambria Math"/>
                              <w:color w:val="auto"/>
                              <w:sz w:val="20"/>
                              <w:szCs w:val="20"/>
                            </w:rPr>
                            <m:t>R</m:t>
                          </m:r>
                        </m:e>
                        <m:sub>
                          <m:r>
                            <w:rPr>
                              <w:rFonts w:ascii="Cambria Math" w:hAnsi="Cambria Math" w:cs="Cambria Math"/>
                              <w:color w:val="auto"/>
                              <w:sz w:val="20"/>
                              <w:szCs w:val="20"/>
                            </w:rPr>
                            <m:t>PPC</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R</m:t>
                          </m:r>
                        </m:e>
                        <m:sub>
                          <m:r>
                            <w:rPr>
                              <w:rFonts w:ascii="Cambria Math" w:hAnsi="Cambria Math" w:cs="Cambria Math"/>
                              <w:color w:val="auto"/>
                              <w:sz w:val="20"/>
                              <w:szCs w:val="20"/>
                            </w:rPr>
                            <m:t>Stability</m:t>
                          </m:r>
                        </m:sub>
                      </m:sSub>
                    </m:e>
                  </m:d>
                  <m:r>
                    <w:rPr>
                      <w:rFonts w:ascii="Cambria Math" w:hAnsi="Cambria Math" w:cs="Cambria Math"/>
                      <w:color w:val="auto"/>
                      <w:sz w:val="20"/>
                      <w:szCs w:val="20"/>
                    </w:rPr>
                    <m:t>,  &amp;</m:t>
                  </m:r>
                  <m:sSub>
                    <m:sSubPr>
                      <m:ctrlPr>
                        <w:rPr>
                          <w:rFonts w:ascii="Cambria Math" w:hAnsi="Cambria Math" w:cs="Cambria Math"/>
                          <w:i/>
                          <w:color w:val="auto"/>
                          <w:sz w:val="20"/>
                          <w:szCs w:val="20"/>
                        </w:rPr>
                      </m:ctrlPr>
                    </m:sSubPr>
                    <m:e>
                      <m:r>
                        <w:rPr>
                          <w:rFonts w:ascii="Cambria Math" w:hAnsi="Cambria Math" w:cs="Cambria Math"/>
                          <w:color w:val="auto"/>
                          <w:sz w:val="20"/>
                          <w:szCs w:val="20"/>
                        </w:rPr>
                        <m:t>R</m:t>
                      </m:r>
                    </m:e>
                    <m:sub>
                      <m:r>
                        <w:rPr>
                          <w:rFonts w:ascii="Cambria Math" w:hAnsi="Cambria Math" w:cs="Cambria Math"/>
                          <w:color w:val="auto"/>
                          <w:sz w:val="20"/>
                          <w:szCs w:val="20"/>
                        </w:rPr>
                        <m:t>PPC</m:t>
                      </m:r>
                    </m:sub>
                  </m:sSub>
                  <m:r>
                    <w:rPr>
                      <w:rFonts w:ascii="Cambria Math" w:hAnsi="Cambria Math" w:cs="Cambria Math"/>
                      <w:color w:val="auto"/>
                      <w:sz w:val="20"/>
                      <w:szCs w:val="20"/>
                    </w:rPr>
                    <m:t xml:space="preserve">, </m:t>
                  </m:r>
                  <m:sSub>
                    <m:sSubPr>
                      <m:ctrlPr>
                        <w:rPr>
                          <w:rFonts w:ascii="Cambria Math" w:hAnsi="Cambria Math" w:cs="Cambria Math"/>
                          <w:i/>
                          <w:color w:val="auto"/>
                          <w:sz w:val="20"/>
                          <w:szCs w:val="20"/>
                        </w:rPr>
                      </m:ctrlPr>
                    </m:sSubPr>
                    <m:e>
                      <m:r>
                        <w:rPr>
                          <w:rFonts w:ascii="Cambria Math" w:hAnsi="Cambria Math" w:cs="Cambria Math"/>
                          <w:color w:val="auto"/>
                          <w:sz w:val="20"/>
                          <w:szCs w:val="20"/>
                        </w:rPr>
                        <m:t>R</m:t>
                      </m:r>
                    </m:e>
                    <m:sub>
                      <m:r>
                        <w:rPr>
                          <w:rFonts w:ascii="Cambria Math" w:hAnsi="Cambria Math" w:cs="Cambria Math"/>
                          <w:color w:val="auto"/>
                          <w:sz w:val="20"/>
                          <w:szCs w:val="20"/>
                        </w:rPr>
                        <m:t>stability</m:t>
                      </m:r>
                    </m:sub>
                  </m:sSub>
                  <m:r>
                    <w:rPr>
                      <w:rFonts w:ascii="Cambria Math" w:hAnsi="Cambria Math" w:cs="Cambria Math"/>
                      <w:color w:val="auto"/>
                      <w:sz w:val="20"/>
                      <w:szCs w:val="20"/>
                    </w:rPr>
                    <m:t>≥0</m:t>
                  </m:r>
                </m:e>
                <m:e>
                  <m:r>
                    <w:rPr>
                      <w:rFonts w:ascii="Cambria Math" w:hAnsi="Cambria Math" w:cs="Cambria Math"/>
                      <w:color w:val="auto"/>
                      <w:sz w:val="20"/>
                      <w:szCs w:val="20"/>
                    </w:rPr>
                    <m:t>0,  &amp;otherwise</m:t>
                  </m:r>
                </m:e>
              </m:eqArr>
            </m:e>
          </m:d>
          <m:r>
            <w:rPr>
              <w:rFonts w:ascii="Cambria Math" w:hAnsi="Cambria Math" w:cs="Cambria Math"/>
              <w:color w:val="auto"/>
              <w:sz w:val="20"/>
              <w:szCs w:val="20"/>
            </w:rPr>
            <m:t xml:space="preserve">,                                                 </m:t>
          </m:r>
          <m:r>
            <m:rPr>
              <m:sty m:val="p"/>
            </m:rPr>
            <w:rPr>
              <w:rFonts w:ascii="Cambria Math" w:hAnsi="Cambria Math" w:cs="Times New Roman"/>
              <w:color w:val="auto"/>
              <w:sz w:val="20"/>
              <w:szCs w:val="24"/>
              <w:lang w:val="en-GB" w:eastAsia="de-DE"/>
            </w:rPr>
            <m:t>(4)</m:t>
          </m:r>
        </m:oMath>
      </m:oMathPara>
    </w:p>
    <w:p w14:paraId="273D0F87" w14:textId="733C9F7C" w:rsidR="00D70F59" w:rsidRPr="003355B8" w:rsidRDefault="00FA1DBC" w:rsidP="00767C3B">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Eq</w:t>
      </w:r>
      <w:r w:rsidR="00100E2B" w:rsidRPr="003355B8">
        <w:rPr>
          <w:rFonts w:ascii="Times New Roman" w:hAnsi="Times New Roman" w:cs="Times New Roman"/>
          <w:color w:val="auto"/>
          <w:sz w:val="20"/>
          <w:szCs w:val="24"/>
          <w:lang w:val="en-GB" w:eastAsia="de-DE"/>
        </w:rPr>
        <w:t>uation</w:t>
      </w:r>
      <w:r w:rsidRPr="003355B8">
        <w:rPr>
          <w:rFonts w:ascii="Times New Roman" w:hAnsi="Times New Roman" w:cs="Times New Roman"/>
          <w:color w:val="auto"/>
          <w:sz w:val="20"/>
          <w:szCs w:val="24"/>
          <w:lang w:val="en-GB" w:eastAsia="de-DE"/>
        </w:rPr>
        <w:t xml:space="preserve"> (4) implies that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oMath>
      <w:r w:rsidRPr="003355B8">
        <w:rPr>
          <w:rFonts w:ascii="Times New Roman" w:hAnsi="Times New Roman" w:cs="Times New Roman"/>
          <w:color w:val="auto"/>
          <w:sz w:val="20"/>
          <w:szCs w:val="24"/>
          <w:lang w:val="en-GB" w:eastAsia="de-DE"/>
        </w:rPr>
        <w:t xml:space="preserve"> is </w:t>
      </w:r>
      <w:r w:rsidR="00946FC7" w:rsidRPr="003355B8">
        <w:rPr>
          <w:rFonts w:ascii="Times New Roman" w:hAnsi="Times New Roman" w:cs="Times New Roman"/>
          <w:color w:val="auto"/>
          <w:sz w:val="20"/>
          <w:szCs w:val="24"/>
          <w:lang w:val="en-GB" w:eastAsia="de-DE"/>
        </w:rPr>
        <w:t>positive</w:t>
      </w:r>
      <w:r w:rsidRPr="003355B8">
        <w:rPr>
          <w:rFonts w:ascii="Times New Roman" w:hAnsi="Times New Roman" w:cs="Times New Roman"/>
          <w:color w:val="auto"/>
          <w:sz w:val="20"/>
          <w:szCs w:val="24"/>
          <w:lang w:val="en-GB" w:eastAsia="de-DE"/>
        </w:rPr>
        <w:t xml:space="preserve"> only when the nontrivial equilibrium point (Eq. A6) exists and is stable; otherwise, the system is considered not resilient and denoted by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r>
          <m:rPr>
            <m:sty m:val="p"/>
          </m:rPr>
          <w:rPr>
            <w:rFonts w:ascii="Cambria Math" w:hAnsi="Cambria Math" w:cs="Times New Roman"/>
            <w:color w:val="auto"/>
            <w:sz w:val="20"/>
            <w:szCs w:val="24"/>
            <w:lang w:val="en-GB" w:eastAsia="de-DE"/>
          </w:rPr>
          <m:t>=0</m:t>
        </m:r>
      </m:oMath>
      <w:r w:rsidRPr="003355B8">
        <w:rPr>
          <w:rFonts w:ascii="Times New Roman" w:hAnsi="Times New Roman" w:cs="Times New Roman"/>
          <w:color w:val="auto"/>
          <w:sz w:val="20"/>
          <w:szCs w:val="24"/>
          <w:lang w:val="en-GB" w:eastAsia="de-DE"/>
        </w:rPr>
        <w:t xml:space="preserve">. </w:t>
      </w:r>
      <m:oMath>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oMath>
      <w:r w:rsidR="00037A96" w:rsidRPr="003355B8">
        <w:rPr>
          <w:rFonts w:ascii="Times New Roman" w:hAnsi="Times New Roman" w:cs="Times New Roman"/>
          <w:color w:val="auto"/>
          <w:sz w:val="20"/>
          <w:szCs w:val="24"/>
          <w:lang w:val="en-GB" w:eastAsia="de-DE"/>
        </w:rPr>
        <w:t xml:space="preserve"> </w:t>
      </w:r>
      <w:proofErr w:type="gramStart"/>
      <w:r w:rsidR="00037A96" w:rsidRPr="003355B8">
        <w:rPr>
          <w:rFonts w:ascii="Times New Roman" w:hAnsi="Times New Roman" w:cs="Times New Roman"/>
          <w:color w:val="auto"/>
          <w:sz w:val="20"/>
          <w:szCs w:val="24"/>
          <w:lang w:val="en-GB" w:eastAsia="de-DE"/>
        </w:rPr>
        <w:t>thus</w:t>
      </w:r>
      <w:proofErr w:type="gramEnd"/>
      <w:r w:rsidR="00037A96" w:rsidRPr="003355B8">
        <w:rPr>
          <w:rFonts w:ascii="Times New Roman" w:hAnsi="Times New Roman" w:cs="Times New Roman"/>
          <w:color w:val="auto"/>
          <w:sz w:val="20"/>
          <w:szCs w:val="24"/>
          <w:lang w:val="en-GB" w:eastAsia="de-DE"/>
        </w:rPr>
        <w:t xml:space="preserve"> represents the tension between the PIPs being too greedy (high </w:t>
      </w:r>
      <w:r w:rsidR="00037A96" w:rsidRPr="003355B8">
        <w:rPr>
          <w:rFonts w:ascii="Times New Roman" w:hAnsi="Times New Roman" w:cs="Times New Roman"/>
          <w:i/>
          <w:iCs/>
          <w:color w:val="auto"/>
          <w:sz w:val="20"/>
          <w:szCs w:val="24"/>
          <w:lang w:val="en-GB" w:eastAsia="de-DE"/>
        </w:rPr>
        <w:t>C</w:t>
      </w:r>
      <w:r w:rsidR="00037A96" w:rsidRPr="003355B8">
        <w:rPr>
          <w:rFonts w:ascii="Times New Roman" w:hAnsi="Times New Roman" w:cs="Times New Roman"/>
          <w:color w:val="auto"/>
          <w:sz w:val="20"/>
          <w:szCs w:val="24"/>
          <w:lang w:val="en-GB" w:eastAsia="de-DE"/>
        </w:rPr>
        <w:t xml:space="preserve">, low </w:t>
      </w:r>
      <w:r w:rsidR="00037A96" w:rsidRPr="003355B8">
        <w:rPr>
          <w:rFonts w:ascii="Times New Roman" w:hAnsi="Times New Roman" w:cs="Times New Roman"/>
          <w:i/>
          <w:iCs/>
          <w:color w:val="auto"/>
          <w:sz w:val="20"/>
          <w:szCs w:val="24"/>
          <w:lang w:val="en-GB" w:eastAsia="de-DE"/>
        </w:rPr>
        <w:t>y</w:t>
      </w:r>
      <w:r w:rsidR="00037A96" w:rsidRPr="003355B8">
        <w:rPr>
          <w:rFonts w:ascii="Times New Roman" w:hAnsi="Times New Roman" w:cs="Times New Roman"/>
          <w:color w:val="auto"/>
          <w:sz w:val="20"/>
          <w:szCs w:val="24"/>
          <w:lang w:val="en-GB" w:eastAsia="de-DE"/>
        </w:rPr>
        <w:t xml:space="preserve">) whereby they get close to the stability boundary and “not greedy enough,” i.e., low </w:t>
      </w:r>
      <w:r w:rsidR="00037A96" w:rsidRPr="003355B8">
        <w:rPr>
          <w:rFonts w:ascii="Times New Roman" w:hAnsi="Times New Roman" w:cs="Times New Roman"/>
          <w:i/>
          <w:iCs/>
          <w:color w:val="auto"/>
          <w:sz w:val="20"/>
          <w:szCs w:val="24"/>
          <w:lang w:val="en-GB" w:eastAsia="de-DE"/>
        </w:rPr>
        <w:t>C</w:t>
      </w:r>
      <w:r w:rsidR="00037A96" w:rsidRPr="003355B8">
        <w:rPr>
          <w:rFonts w:ascii="Times New Roman" w:hAnsi="Times New Roman" w:cs="Times New Roman"/>
          <w:color w:val="auto"/>
          <w:sz w:val="20"/>
          <w:szCs w:val="24"/>
          <w:lang w:val="en-GB" w:eastAsia="de-DE"/>
        </w:rPr>
        <w:t xml:space="preserve"> and high </w:t>
      </w:r>
      <w:r w:rsidR="00037A96" w:rsidRPr="003355B8">
        <w:rPr>
          <w:rFonts w:ascii="Times New Roman" w:hAnsi="Times New Roman" w:cs="Times New Roman"/>
          <w:i/>
          <w:iCs/>
          <w:color w:val="auto"/>
          <w:sz w:val="20"/>
          <w:szCs w:val="24"/>
          <w:lang w:val="en-GB" w:eastAsia="de-DE"/>
        </w:rPr>
        <w:t>y</w:t>
      </w:r>
      <w:r w:rsidR="00037A96" w:rsidRPr="003355B8">
        <w:rPr>
          <w:rFonts w:ascii="Times New Roman" w:hAnsi="Times New Roman" w:cs="Times New Roman"/>
          <w:color w:val="auto"/>
          <w:sz w:val="20"/>
          <w:szCs w:val="24"/>
          <w:lang w:val="en-GB" w:eastAsia="de-DE"/>
        </w:rPr>
        <w:t xml:space="preserve"> whereby they get close to the PPC, given a particular choice for </w:t>
      </w:r>
      <m:oMath>
        <m:sSub>
          <m:sSubPr>
            <m:ctrlPr>
              <w:rPr>
                <w:rFonts w:ascii="Cambria Math" w:hAnsi="Cambria Math"/>
                <w:color w:val="auto"/>
                <w:sz w:val="20"/>
                <w:szCs w:val="20"/>
              </w:rPr>
            </m:ctrlPr>
          </m:sSubPr>
          <m:e>
            <m:r>
              <w:rPr>
                <w:rFonts w:ascii="Cambria Math" w:hAnsi="Cambria Math" w:cs="Cambria Math"/>
                <w:color w:val="auto"/>
                <w:sz w:val="20"/>
                <w:szCs w:val="20"/>
              </w:rPr>
              <m:t>w</m:t>
            </m:r>
          </m:e>
          <m:sub>
            <m:r>
              <w:rPr>
                <w:rFonts w:ascii="Cambria Math" w:hAnsi="Cambria Math" w:cs="Cambria Math"/>
                <w:color w:val="auto"/>
                <w:sz w:val="20"/>
                <w:szCs w:val="20"/>
              </w:rPr>
              <m:t>P</m:t>
            </m:r>
          </m:sub>
        </m:sSub>
      </m:oMath>
      <w:r w:rsidR="00037A96" w:rsidRPr="003355B8">
        <w:rPr>
          <w:rFonts w:ascii="Times New Roman" w:hAnsi="Times New Roman" w:cs="Times New Roman"/>
          <w:color w:val="auto"/>
          <w:sz w:val="20"/>
          <w:szCs w:val="24"/>
          <w:lang w:val="en-GB" w:eastAsia="de-DE"/>
        </w:rPr>
        <w:t xml:space="preserve">. Note that the values of </w:t>
      </w:r>
      <w:r w:rsidR="00037A96" w:rsidRPr="003355B8">
        <w:rPr>
          <w:rFonts w:ascii="Times New Roman" w:hAnsi="Times New Roman" w:cs="Times New Roman"/>
          <w:i/>
          <w:iCs/>
          <w:color w:val="auto"/>
          <w:sz w:val="20"/>
          <w:szCs w:val="24"/>
          <w:lang w:val="en-GB" w:eastAsia="de-DE"/>
        </w:rPr>
        <w:t>w</w:t>
      </w:r>
      <w:r w:rsidR="00037A96" w:rsidRPr="003355B8">
        <w:rPr>
          <w:rFonts w:ascii="Times New Roman" w:hAnsi="Times New Roman" w:cs="Times New Roman"/>
          <w:color w:val="auto"/>
          <w:sz w:val="20"/>
          <w:szCs w:val="24"/>
          <w:lang w:val="en-GB" w:eastAsia="de-DE"/>
        </w:rPr>
        <w:t xml:space="preserve"> and </w:t>
      </w:r>
      <m:oMath>
        <m:sSub>
          <m:sSubPr>
            <m:ctrlPr>
              <w:rPr>
                <w:rFonts w:ascii="Cambria Math" w:hAnsi="Cambria Math"/>
                <w:color w:val="auto"/>
                <w:sz w:val="20"/>
                <w:szCs w:val="20"/>
              </w:rPr>
            </m:ctrlPr>
          </m:sSubPr>
          <m:e>
            <m:r>
              <w:rPr>
                <w:rFonts w:ascii="Cambria Math" w:hAnsi="Cambria Math" w:cs="Cambria Math"/>
                <w:color w:val="auto"/>
                <w:sz w:val="20"/>
                <w:szCs w:val="20"/>
              </w:rPr>
              <m:t>w</m:t>
            </m:r>
          </m:e>
          <m:sub>
            <m:r>
              <w:rPr>
                <w:rFonts w:ascii="Cambria Math" w:hAnsi="Cambria Math" w:cs="Cambria Math"/>
                <w:color w:val="auto"/>
                <w:sz w:val="20"/>
                <w:szCs w:val="20"/>
              </w:rPr>
              <m:t>P</m:t>
            </m:r>
          </m:sub>
        </m:sSub>
      </m:oMath>
      <w:r w:rsidR="00037A96" w:rsidRPr="003355B8">
        <w:rPr>
          <w:rFonts w:ascii="Times New Roman" w:hAnsi="Times New Roman" w:cs="Times New Roman"/>
          <w:color w:val="auto"/>
          <w:sz w:val="20"/>
          <w:szCs w:val="24"/>
          <w:lang w:val="en-GB" w:eastAsia="de-DE"/>
        </w:rPr>
        <w:t xml:space="preserve"> represent the socio-economic embedding of the CIS. Therefore, the biophysical structure of the CIS along with the socio-economic context in which it is embedded co-determine the maximum resilience that can be achieved. </w:t>
      </w:r>
      <w:r w:rsidRPr="003355B8">
        <w:rPr>
          <w:rFonts w:ascii="Times New Roman" w:hAnsi="Times New Roman" w:cs="Times New Roman"/>
          <w:color w:val="auto"/>
          <w:sz w:val="20"/>
          <w:szCs w:val="24"/>
          <w:lang w:val="en-GB" w:eastAsia="de-DE"/>
        </w:rPr>
        <w:t>G</w:t>
      </w:r>
      <w:r w:rsidR="00481E6F" w:rsidRPr="003355B8">
        <w:rPr>
          <w:rFonts w:ascii="Times New Roman" w:hAnsi="Times New Roman" w:cs="Times New Roman"/>
          <w:color w:val="auto"/>
          <w:sz w:val="20"/>
          <w:szCs w:val="24"/>
          <w:lang w:val="en-GB" w:eastAsia="de-DE"/>
        </w:rPr>
        <w:t>iven</w:t>
      </w:r>
      <w:r w:rsidR="007D7B07" w:rsidRPr="003355B8">
        <w:rPr>
          <w:rFonts w:ascii="Times New Roman" w:hAnsi="Times New Roman" w:cs="Times New Roman"/>
          <w:color w:val="auto"/>
          <w:sz w:val="20"/>
          <w:szCs w:val="24"/>
          <w:lang w:val="en-GB" w:eastAsia="de-DE"/>
        </w:rPr>
        <w:t xml:space="preserve"> that</w:t>
      </w:r>
      <w:r w:rsidR="00481E6F" w:rsidRPr="003355B8">
        <w:rPr>
          <w:rFonts w:ascii="Times New Roman" w:hAnsi="Times New Roman" w:cs="Times New Roman"/>
          <w:color w:val="auto"/>
          <w:sz w:val="20"/>
          <w:szCs w:val="24"/>
          <w:lang w:val="en-GB" w:eastAsia="de-DE"/>
        </w:rPr>
        <w:t xml:space="preserve"> </w:t>
      </w:r>
      <w:r w:rsidR="007D7B07" w:rsidRPr="003355B8">
        <w:rPr>
          <w:rFonts w:ascii="Times New Roman" w:hAnsi="Times New Roman" w:cs="Times New Roman"/>
          <w:color w:val="auto"/>
          <w:sz w:val="20"/>
          <w:szCs w:val="24"/>
          <w:lang w:val="en-GB" w:eastAsia="de-DE"/>
        </w:rPr>
        <w:t xml:space="preserve">the </w:t>
      </w:r>
      <w:r w:rsidR="00481E6F" w:rsidRPr="003355B8">
        <w:rPr>
          <w:rFonts w:ascii="Times New Roman" w:hAnsi="Times New Roman" w:cs="Times New Roman"/>
          <w:color w:val="auto"/>
          <w:sz w:val="20"/>
          <w:szCs w:val="24"/>
          <w:lang w:val="en-GB" w:eastAsia="de-DE"/>
        </w:rPr>
        <w:t>nontrivial equilibrium point</w:t>
      </w:r>
      <w:r w:rsidR="007D7B07" w:rsidRPr="003355B8">
        <w:rPr>
          <w:rFonts w:ascii="Times New Roman" w:hAnsi="Times New Roman" w:cs="Times New Roman"/>
          <w:color w:val="auto"/>
          <w:sz w:val="20"/>
          <w:szCs w:val="24"/>
          <w:lang w:val="en-GB" w:eastAsia="de-DE"/>
        </w:rPr>
        <w:t xml:space="preserve"> exist</w:t>
      </w:r>
      <w:r w:rsidRPr="003355B8">
        <w:rPr>
          <w:rFonts w:ascii="Times New Roman" w:hAnsi="Times New Roman" w:cs="Times New Roman"/>
          <w:color w:val="auto"/>
          <w:sz w:val="20"/>
          <w:szCs w:val="24"/>
          <w:lang w:val="en-GB" w:eastAsia="de-DE"/>
        </w:rPr>
        <w:t>s and is stable</w:t>
      </w:r>
      <w:r w:rsidR="00481E6F" w:rsidRPr="003355B8">
        <w:rPr>
          <w:rFonts w:ascii="Times New Roman" w:hAnsi="Times New Roman" w:cs="Times New Roman"/>
          <w:color w:val="auto"/>
          <w:sz w:val="20"/>
          <w:szCs w:val="24"/>
          <w:lang w:val="en-GB" w:eastAsia="de-DE"/>
        </w:rPr>
        <w:t>,</w:t>
      </w:r>
      <w:r w:rsidR="004A25E8" w:rsidRPr="003355B8">
        <w:rPr>
          <w:rFonts w:ascii="Times New Roman" w:hAnsi="Times New Roman" w:cs="Times New Roman"/>
          <w:color w:val="auto"/>
          <w:sz w:val="20"/>
          <w:szCs w:val="24"/>
          <w:lang w:val="en-GB" w:eastAsia="de-DE"/>
        </w:rPr>
        <w:t xml:space="preserve"> if the system is at a greater risk of being abandoned by the PIPs (and eventually collapsing),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r>
          <m:rPr>
            <m:sty m:val="p"/>
          </m:rPr>
          <w:rPr>
            <w:rFonts w:ascii="Cambria Math" w:hAnsi="Cambria Math" w:cs="Cambria Math"/>
            <w:color w:val="auto"/>
            <w:sz w:val="20"/>
            <w:szCs w:val="24"/>
            <w:lang w:val="en-GB" w:eastAsia="de-DE"/>
          </w:rPr>
          <m:t>=</m:t>
        </m:r>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PPC</m:t>
            </m:r>
          </m:sub>
        </m:sSub>
      </m:oMath>
      <w:r w:rsidR="004A25E8" w:rsidRPr="003355B8">
        <w:rPr>
          <w:rFonts w:ascii="Times New Roman" w:hAnsi="Times New Roman" w:cs="Times New Roman"/>
          <w:color w:val="auto"/>
          <w:sz w:val="20"/>
          <w:szCs w:val="24"/>
          <w:lang w:val="en-GB" w:eastAsia="de-DE"/>
        </w:rPr>
        <w:t xml:space="preserve">; if the system is at a greater risk of becoming unstable (and eventually collapsing),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r>
          <m:rPr>
            <m:sty m:val="p"/>
          </m:rPr>
          <w:rPr>
            <w:rFonts w:ascii="Cambria Math" w:hAnsi="Cambria Math" w:cs="Cambria Math"/>
            <w:color w:val="auto"/>
            <w:sz w:val="20"/>
            <w:szCs w:val="24"/>
            <w:lang w:val="en-GB" w:eastAsia="de-DE"/>
          </w:rPr>
          <m:t>=</m:t>
        </m:r>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stability</m:t>
            </m:r>
          </m:sub>
        </m:sSub>
      </m:oMath>
      <w:r w:rsidR="004A25E8" w:rsidRPr="003355B8">
        <w:rPr>
          <w:rFonts w:ascii="Times New Roman" w:hAnsi="Times New Roman" w:cs="Times New Roman"/>
          <w:color w:val="auto"/>
          <w:sz w:val="20"/>
          <w:szCs w:val="24"/>
          <w:lang w:val="en-GB" w:eastAsia="de-DE"/>
        </w:rPr>
        <w:t>.</w:t>
      </w:r>
      <w:bookmarkStart w:id="6" w:name="_zf6z7j7lmd9u" w:colFirst="0" w:colLast="0"/>
      <w:bookmarkEnd w:id="6"/>
      <w:r w:rsidR="004A25E8" w:rsidRPr="003355B8">
        <w:rPr>
          <w:rFonts w:ascii="Times New Roman" w:hAnsi="Times New Roman" w:cs="Times New Roman"/>
          <w:color w:val="auto"/>
          <w:sz w:val="20"/>
          <w:szCs w:val="24"/>
          <w:lang w:val="en-GB" w:eastAsia="de-DE"/>
        </w:rPr>
        <w:t xml:space="preserve"> Fig</w:t>
      </w:r>
      <w:proofErr w:type="spellStart"/>
      <w:r w:rsidR="00FE225E" w:rsidRPr="003355B8">
        <w:rPr>
          <w:rFonts w:ascii="Times New Roman" w:hAnsi="Times New Roman" w:cs="Times New Roman"/>
          <w:color w:val="auto"/>
          <w:sz w:val="20"/>
          <w:szCs w:val="24"/>
          <w:lang w:val="en-GB" w:eastAsia="de-DE"/>
        </w:rPr>
        <w:t>ure</w:t>
      </w:r>
      <w:proofErr w:type="spellEnd"/>
      <w:r w:rsidR="004A25E8" w:rsidRPr="003355B8">
        <w:rPr>
          <w:rFonts w:ascii="Times New Roman" w:hAnsi="Times New Roman" w:cs="Times New Roman"/>
          <w:color w:val="auto"/>
          <w:sz w:val="20"/>
          <w:szCs w:val="24"/>
          <w:lang w:val="en-GB" w:eastAsia="de-DE"/>
        </w:rPr>
        <w:t xml:space="preserve"> 1 illustrates the relationships between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PPC</m:t>
            </m:r>
          </m:sub>
        </m:sSub>
      </m:oMath>
      <w:r w:rsidR="004A25E8" w:rsidRPr="003355B8">
        <w:rPr>
          <w:rFonts w:ascii="Times New Roman" w:hAnsi="Times New Roman" w:cs="Times New Roman"/>
          <w:color w:val="auto"/>
          <w:sz w:val="20"/>
          <w:szCs w:val="24"/>
          <w:lang w:val="en-GB" w:eastAsia="de-DE"/>
        </w:rPr>
        <w:t xml:space="preserve"> ,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stability</m:t>
            </m:r>
          </m:sub>
        </m:sSub>
      </m:oMath>
      <w:r w:rsidR="004A25E8" w:rsidRPr="003355B8">
        <w:rPr>
          <w:rFonts w:ascii="Times New Roman" w:hAnsi="Times New Roman" w:cs="Times New Roman"/>
          <w:color w:val="auto"/>
          <w:sz w:val="20"/>
          <w:szCs w:val="24"/>
          <w:lang w:val="en-GB" w:eastAsia="de-DE"/>
        </w:rPr>
        <w:t xml:space="preserve">, and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r>
          <m:rPr>
            <m:sty m:val="p"/>
          </m:rPr>
          <w:rPr>
            <w:rFonts w:ascii="Cambria Math" w:hAnsi="Cambria Math" w:cs="Cambria Math"/>
            <w:color w:val="auto"/>
            <w:sz w:val="20"/>
            <w:szCs w:val="24"/>
            <w:lang w:val="en-GB" w:eastAsia="de-DE"/>
          </w:rPr>
          <m:t>.</m:t>
        </m:r>
      </m:oMath>
      <w:bookmarkStart w:id="7" w:name="_nxsctiry61vj" w:colFirst="0" w:colLast="0"/>
      <w:bookmarkEnd w:id="7"/>
      <w:r w:rsidR="004A25E8" w:rsidRPr="003355B8">
        <w:rPr>
          <w:rFonts w:ascii="Arial" w:hAnsi="Arial" w:cs="Times New Roman"/>
          <w:color w:val="auto"/>
          <w:sz w:val="20"/>
          <w:szCs w:val="20"/>
        </w:rPr>
        <w:tab/>
      </w:r>
    </w:p>
    <w:p w14:paraId="26BD3EBC" w14:textId="77BF4657" w:rsidR="00043235" w:rsidRPr="003355B8" w:rsidRDefault="004A25E8" w:rsidP="00D70F59">
      <w:pPr>
        <w:spacing w:after="120" w:line="240" w:lineRule="auto"/>
        <w:ind w:left="360" w:right="360"/>
        <w:jc w:val="both"/>
        <w:rPr>
          <w:rFonts w:ascii="Times" w:hAnsi="Times" w:cs="Times New Roman"/>
          <w:bCs/>
          <w:color w:val="auto"/>
          <w:sz w:val="18"/>
          <w:szCs w:val="18"/>
        </w:rPr>
      </w:pPr>
      <w:r w:rsidRPr="003355B8">
        <w:rPr>
          <w:rFonts w:ascii="Times New Roman" w:hAnsi="Times New Roman" w:cs="Times New Roman"/>
          <w:bCs/>
          <w:color w:val="auto"/>
          <w:sz w:val="18"/>
          <w:szCs w:val="18"/>
        </w:rPr>
        <w:t>Fig</w:t>
      </w:r>
      <w:r w:rsidR="00F82C5D" w:rsidRPr="003355B8">
        <w:rPr>
          <w:rFonts w:ascii="Times New Roman" w:hAnsi="Times New Roman" w:cs="Times New Roman"/>
          <w:bCs/>
          <w:color w:val="auto"/>
          <w:sz w:val="18"/>
          <w:szCs w:val="18"/>
        </w:rPr>
        <w:t>ure</w:t>
      </w:r>
      <w:r w:rsidRPr="003355B8">
        <w:rPr>
          <w:rFonts w:ascii="Times New Roman" w:hAnsi="Times New Roman" w:cs="Times New Roman"/>
          <w:bCs/>
          <w:color w:val="auto"/>
          <w:sz w:val="18"/>
          <w:szCs w:val="18"/>
        </w:rPr>
        <w:t xml:space="preserve"> 1</w:t>
      </w:r>
      <w:r w:rsidR="00F82C5D" w:rsidRPr="003355B8">
        <w:rPr>
          <w:rFonts w:ascii="Times New Roman" w:hAnsi="Times New Roman" w:cs="Times New Roman"/>
          <w:bCs/>
          <w:color w:val="auto"/>
          <w:sz w:val="18"/>
          <w:szCs w:val="18"/>
        </w:rPr>
        <w:t>:</w:t>
      </w:r>
      <w:r w:rsidRPr="003355B8">
        <w:rPr>
          <w:rFonts w:ascii="Times New Roman" w:hAnsi="Times New Roman" w:cs="Times New Roman"/>
          <w:color w:val="auto"/>
          <w:sz w:val="18"/>
          <w:szCs w:val="18"/>
        </w:rPr>
        <w:t xml:space="preserve"> Resilience metrics for a specific </w:t>
      </w:r>
      <w:r w:rsidR="00BE3045" w:rsidRPr="003355B8">
        <w:rPr>
          <w:rFonts w:ascii="Times New Roman" w:hAnsi="Times New Roman" w:cs="Times New Roman"/>
          <w:color w:val="auto"/>
          <w:sz w:val="18"/>
          <w:szCs w:val="18"/>
        </w:rPr>
        <w:t xml:space="preserve">setting </w:t>
      </w:r>
      <w:r w:rsidRPr="003355B8">
        <w:rPr>
          <w:rFonts w:ascii="Times New Roman" w:hAnsi="Times New Roman" w:cs="Times New Roman"/>
          <w:color w:val="auto"/>
          <w:sz w:val="18"/>
          <w:szCs w:val="18"/>
        </w:rPr>
        <w:t xml:space="preserve">(a </w:t>
      </w:r>
      <m:oMath>
        <m:r>
          <w:rPr>
            <w:rFonts w:ascii="Cambria Math" w:hAnsi="Cambria Math" w:cs="Times New Roman"/>
            <w:color w:val="auto"/>
            <w:sz w:val="18"/>
            <w:szCs w:val="18"/>
          </w:rPr>
          <m:t>g</m:t>
        </m:r>
      </m:oMath>
      <w:r w:rsidRPr="003355B8">
        <w:rPr>
          <w:rFonts w:ascii="Times New Roman" w:hAnsi="Times New Roman" w:cs="Times New Roman"/>
          <w:color w:val="auto"/>
          <w:sz w:val="18"/>
          <w:szCs w:val="18"/>
        </w:rPr>
        <w:t>-</w:t>
      </w:r>
      <m:oMath>
        <m:r>
          <w:rPr>
            <w:rFonts w:ascii="Cambria Math" w:hAnsi="Cambria Math" w:cs="Times New Roman"/>
            <w:color w:val="auto"/>
            <w:sz w:val="18"/>
            <w:szCs w:val="18"/>
          </w:rPr>
          <m:t>w</m:t>
        </m:r>
      </m:oMath>
      <w:r w:rsidRPr="003355B8">
        <w:rPr>
          <w:rFonts w:ascii="Times New Roman" w:hAnsi="Times New Roman" w:cs="Times New Roman"/>
          <w:color w:val="auto"/>
          <w:sz w:val="18"/>
          <w:szCs w:val="18"/>
        </w:rPr>
        <w:t xml:space="preserve"> com</w:t>
      </w:r>
      <w:r w:rsidR="00604B11" w:rsidRPr="003355B8">
        <w:rPr>
          <w:rFonts w:ascii="Times New Roman" w:hAnsi="Times New Roman" w:cs="Times New Roman"/>
          <w:color w:val="auto"/>
          <w:sz w:val="18"/>
          <w:szCs w:val="18"/>
        </w:rPr>
        <w:t>b</w:t>
      </w:r>
      <w:r w:rsidRPr="003355B8">
        <w:rPr>
          <w:rFonts w:ascii="Times New Roman" w:hAnsi="Times New Roman" w:cs="Times New Roman"/>
          <w:color w:val="auto"/>
          <w:sz w:val="18"/>
          <w:szCs w:val="18"/>
        </w:rPr>
        <w:t>i</w:t>
      </w:r>
      <w:r w:rsidR="00604B11" w:rsidRPr="003355B8">
        <w:rPr>
          <w:rFonts w:ascii="Times New Roman" w:hAnsi="Times New Roman" w:cs="Times New Roman"/>
          <w:color w:val="auto"/>
          <w:sz w:val="18"/>
          <w:szCs w:val="18"/>
        </w:rPr>
        <w:t>n</w:t>
      </w:r>
      <w:r w:rsidRPr="003355B8">
        <w:rPr>
          <w:rFonts w:ascii="Times New Roman" w:hAnsi="Times New Roman" w:cs="Times New Roman"/>
          <w:color w:val="auto"/>
          <w:sz w:val="18"/>
          <w:szCs w:val="18"/>
        </w:rPr>
        <w:t xml:space="preserve">ation) inside the sustainable region in the policy space (i.e., </w:t>
      </w:r>
      <m:oMath>
        <m:r>
          <w:rPr>
            <w:rFonts w:ascii="Cambria Math" w:hAnsi="Cambria Math" w:cs="Times New Roman"/>
            <w:color w:val="auto"/>
            <w:sz w:val="18"/>
            <w:szCs w:val="18"/>
          </w:rPr>
          <m:t>C</m:t>
        </m:r>
      </m:oMath>
      <w:r w:rsidRPr="003355B8">
        <w:rPr>
          <w:rFonts w:ascii="Times New Roman" w:hAnsi="Times New Roman" w:cs="Times New Roman"/>
          <w:color w:val="auto"/>
          <w:sz w:val="18"/>
          <w:szCs w:val="18"/>
        </w:rPr>
        <w:t>-</w:t>
      </w:r>
      <m:oMath>
        <m:r>
          <w:rPr>
            <w:rFonts w:ascii="Cambria Math" w:hAnsi="Cambria Math" w:cs="Times New Roman"/>
            <w:color w:val="auto"/>
            <w:sz w:val="18"/>
            <w:szCs w:val="18"/>
          </w:rPr>
          <m:t>y</m:t>
        </m:r>
      </m:oMath>
      <w:r w:rsidRPr="003355B8">
        <w:rPr>
          <w:rFonts w:ascii="Times New Roman" w:hAnsi="Times New Roman" w:cs="Times New Roman"/>
          <w:color w:val="auto"/>
          <w:sz w:val="18"/>
          <w:szCs w:val="18"/>
        </w:rPr>
        <w:t xml:space="preserve"> plane): (a)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PPC</m:t>
            </m:r>
          </m:sub>
        </m:sSub>
      </m:oMath>
      <w:r w:rsidRPr="003355B8">
        <w:rPr>
          <w:rFonts w:ascii="Times New Roman" w:hAnsi="Times New Roman" w:cs="Times New Roman"/>
          <w:color w:val="auto"/>
          <w:sz w:val="18"/>
          <w:szCs w:val="18"/>
        </w:rPr>
        <w:t xml:space="preserve"> contours; (b)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Stability</m:t>
            </m:r>
          </m:sub>
        </m:sSub>
      </m:oMath>
      <w:r w:rsidRPr="003355B8">
        <w:rPr>
          <w:rFonts w:ascii="Times New Roman" w:hAnsi="Times New Roman" w:cs="Times New Roman"/>
          <w:color w:val="auto"/>
          <w:sz w:val="18"/>
          <w:szCs w:val="18"/>
        </w:rPr>
        <w:t xml:space="preserve"> contours; and (c)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contours</w:t>
      </w:r>
      <w:r w:rsidRPr="003355B8">
        <w:rPr>
          <w:rFonts w:ascii="Arial" w:hAnsi="Arial" w:cs="Times New Roman"/>
          <w:color w:val="auto"/>
          <w:sz w:val="18"/>
          <w:szCs w:val="18"/>
        </w:rPr>
        <w:t xml:space="preserve">. </w:t>
      </w:r>
      <w:r w:rsidR="00426581" w:rsidRPr="003355B8">
        <w:rPr>
          <w:rFonts w:ascii="Times" w:hAnsi="Times" w:cs="Times New Roman"/>
          <w:color w:val="auto"/>
          <w:sz w:val="18"/>
          <w:szCs w:val="18"/>
        </w:rPr>
        <w:t xml:space="preserve">The black star in panels (a), (b), and (c) indicate the policy with the highest </w:t>
      </w:r>
      <m:oMath>
        <m:sSub>
          <m:sSubPr>
            <m:ctrlPr>
              <w:rPr>
                <w:rFonts w:ascii="Cambria Math" w:hAnsi="Cambria Math" w:cs="Times New Roman"/>
                <w:color w:val="auto"/>
                <w:sz w:val="18"/>
                <w:szCs w:val="18"/>
              </w:rPr>
            </m:ctrlPr>
          </m:sSubPr>
          <m:e>
            <m:r>
              <m:rPr>
                <m:sty m:val="bi"/>
              </m:rPr>
              <w:rPr>
                <w:rFonts w:ascii="Cambria Math" w:hAnsi="Cambria Math" w:cs="Times New Roman"/>
                <w:color w:val="auto"/>
                <w:sz w:val="18"/>
                <w:szCs w:val="18"/>
              </w:rPr>
              <m:t>R</m:t>
            </m:r>
          </m:e>
          <m:sub>
            <m:r>
              <m:rPr>
                <m:sty m:val="bi"/>
              </m:rPr>
              <w:rPr>
                <w:rFonts w:ascii="Cambria Math" w:hAnsi="Cambria Math" w:cs="Times New Roman"/>
                <w:color w:val="auto"/>
                <w:sz w:val="18"/>
                <w:szCs w:val="18"/>
              </w:rPr>
              <m:t>PPC</m:t>
            </m:r>
          </m:sub>
        </m:sSub>
      </m:oMath>
      <w:r w:rsidR="00426581" w:rsidRPr="003355B8">
        <w:rPr>
          <w:rFonts w:ascii="Times" w:hAnsi="Times" w:cs="Times New Roman"/>
          <w:color w:val="auto"/>
          <w:sz w:val="18"/>
          <w:szCs w:val="18"/>
        </w:rPr>
        <w:t xml:space="preserve">, </w:t>
      </w:r>
      <m:oMath>
        <m:sSub>
          <m:sSubPr>
            <m:ctrlPr>
              <w:rPr>
                <w:rFonts w:ascii="Cambria Math" w:hAnsi="Cambria Math" w:cs="Times New Roman"/>
                <w:color w:val="auto"/>
                <w:sz w:val="18"/>
                <w:szCs w:val="18"/>
              </w:rPr>
            </m:ctrlPr>
          </m:sSubPr>
          <m:e>
            <m:r>
              <m:rPr>
                <m:sty m:val="bi"/>
              </m:rPr>
              <w:rPr>
                <w:rFonts w:ascii="Cambria Math" w:hAnsi="Cambria Math" w:cs="Times New Roman"/>
                <w:color w:val="auto"/>
                <w:sz w:val="18"/>
                <w:szCs w:val="18"/>
              </w:rPr>
              <m:t>R</m:t>
            </m:r>
          </m:e>
          <m:sub>
            <m:r>
              <m:rPr>
                <m:sty m:val="bi"/>
              </m:rPr>
              <w:rPr>
                <w:rFonts w:ascii="Cambria Math" w:hAnsi="Cambria Math" w:cs="Times New Roman"/>
                <w:color w:val="auto"/>
                <w:sz w:val="18"/>
                <w:szCs w:val="18"/>
              </w:rPr>
              <m:t>Stability</m:t>
            </m:r>
          </m:sub>
        </m:sSub>
      </m:oMath>
      <w:r w:rsidR="00426581" w:rsidRPr="003355B8">
        <w:rPr>
          <w:rFonts w:ascii="Times" w:hAnsi="Times" w:cs="Times New Roman"/>
          <w:color w:val="auto"/>
          <w:sz w:val="18"/>
          <w:szCs w:val="18"/>
        </w:rPr>
        <w:t xml:space="preserve">, and </w:t>
      </w:r>
      <m:oMath>
        <m:sSub>
          <m:sSubPr>
            <m:ctrlPr>
              <w:rPr>
                <w:rFonts w:ascii="Cambria Math" w:hAnsi="Cambria Math" w:cs="Times New Roman"/>
                <w:color w:val="auto"/>
                <w:sz w:val="18"/>
                <w:szCs w:val="18"/>
              </w:rPr>
            </m:ctrlPr>
          </m:sSubPr>
          <m:e>
            <m:r>
              <m:rPr>
                <m:sty m:val="bi"/>
              </m:rPr>
              <w:rPr>
                <w:rFonts w:ascii="Cambria Math" w:hAnsi="Cambria Math" w:cs="Times New Roman"/>
                <w:color w:val="auto"/>
                <w:sz w:val="18"/>
                <w:szCs w:val="18"/>
              </w:rPr>
              <m:t>R</m:t>
            </m:r>
          </m:e>
          <m:sub>
            <m:r>
              <m:rPr>
                <m:sty m:val="bi"/>
              </m:rPr>
              <w:rPr>
                <w:rFonts w:ascii="Cambria Math" w:hAnsi="Cambria Math" w:cs="Times New Roman"/>
                <w:color w:val="auto"/>
                <w:sz w:val="18"/>
                <w:szCs w:val="18"/>
              </w:rPr>
              <m:t>system</m:t>
            </m:r>
          </m:sub>
        </m:sSub>
      </m:oMath>
      <w:r w:rsidR="00426581" w:rsidRPr="003355B8">
        <w:rPr>
          <w:rFonts w:ascii="Times" w:hAnsi="Times" w:cs="Times New Roman"/>
          <w:color w:val="auto"/>
          <w:sz w:val="18"/>
          <w:szCs w:val="18"/>
        </w:rPr>
        <w:t>, respectively.</w:t>
      </w:r>
    </w:p>
    <w:p w14:paraId="286912E6" w14:textId="7FFA5FD4" w:rsidR="004A25E8" w:rsidRPr="003355B8" w:rsidRDefault="00FF32F2" w:rsidP="00246F51">
      <w:pPr>
        <w:pStyle w:val="Heading1"/>
        <w:keepLines w:val="0"/>
        <w:numPr>
          <w:ilvl w:val="1"/>
          <w:numId w:val="31"/>
        </w:numPr>
        <w:spacing w:after="240" w:line="240" w:lineRule="auto"/>
        <w:ind w:left="360"/>
        <w:jc w:val="both"/>
        <w:rPr>
          <w:rFonts w:ascii="Times New Roman" w:hAnsi="Times New Roman" w:cs="Arial"/>
          <w:bCs/>
          <w:color w:val="auto"/>
          <w:kern w:val="32"/>
          <w:sz w:val="20"/>
          <w:szCs w:val="32"/>
          <w:lang w:val="en-GB" w:eastAsia="de-DE"/>
        </w:rPr>
      </w:pPr>
      <w:r w:rsidRPr="003355B8">
        <w:rPr>
          <w:rFonts w:ascii="Times New Roman" w:hAnsi="Times New Roman" w:cs="Arial"/>
          <w:bCs/>
          <w:color w:val="auto"/>
          <w:kern w:val="32"/>
          <w:sz w:val="20"/>
          <w:szCs w:val="32"/>
          <w:lang w:val="en-GB" w:eastAsia="de-DE"/>
        </w:rPr>
        <w:t xml:space="preserve">Linking </w:t>
      </w:r>
      <w:r w:rsidR="004A25E8" w:rsidRPr="003355B8">
        <w:rPr>
          <w:rFonts w:ascii="Times New Roman" w:hAnsi="Times New Roman" w:cs="Arial"/>
          <w:bCs/>
          <w:color w:val="auto"/>
          <w:kern w:val="32"/>
          <w:sz w:val="20"/>
          <w:szCs w:val="32"/>
          <w:lang w:val="en-GB" w:eastAsia="de-DE"/>
        </w:rPr>
        <w:t xml:space="preserve">Robustness </w:t>
      </w:r>
      <w:r w:rsidRPr="003355B8">
        <w:rPr>
          <w:rFonts w:ascii="Times New Roman" w:hAnsi="Times New Roman" w:cs="Arial"/>
          <w:bCs/>
          <w:color w:val="auto"/>
          <w:kern w:val="32"/>
          <w:sz w:val="20"/>
          <w:szCs w:val="32"/>
          <w:lang w:val="en-GB" w:eastAsia="de-DE"/>
        </w:rPr>
        <w:t>and</w:t>
      </w:r>
      <w:r w:rsidR="004A25E8" w:rsidRPr="003355B8">
        <w:rPr>
          <w:rFonts w:ascii="Times New Roman" w:hAnsi="Times New Roman" w:cs="Arial"/>
          <w:bCs/>
          <w:color w:val="auto"/>
          <w:kern w:val="32"/>
          <w:sz w:val="20"/>
          <w:szCs w:val="32"/>
          <w:lang w:val="en-GB" w:eastAsia="de-DE"/>
        </w:rPr>
        <w:t xml:space="preserve"> resilience </w:t>
      </w:r>
    </w:p>
    <w:p w14:paraId="4D433CB3" w14:textId="56B9FC54" w:rsidR="00C949C7" w:rsidRPr="003355B8" w:rsidRDefault="004A25E8" w:rsidP="0061110F">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As discussed earlier, robustness can be thought of as the opposite of sensitivity. </w:t>
      </w:r>
      <w:r w:rsidR="006F3683" w:rsidRPr="003355B8">
        <w:rPr>
          <w:rFonts w:ascii="Times New Roman" w:hAnsi="Times New Roman" w:cs="Times New Roman"/>
          <w:color w:val="auto"/>
          <w:sz w:val="20"/>
          <w:szCs w:val="24"/>
          <w:lang w:val="en-GB" w:eastAsia="de-DE"/>
        </w:rPr>
        <w:t xml:space="preserve">A commonly used </w:t>
      </w:r>
      <w:r w:rsidRPr="003355B8">
        <w:rPr>
          <w:rFonts w:ascii="Times New Roman" w:hAnsi="Times New Roman" w:cs="Times New Roman"/>
          <w:color w:val="auto"/>
          <w:sz w:val="20"/>
          <w:szCs w:val="24"/>
          <w:lang w:val="en-GB" w:eastAsia="de-DE"/>
        </w:rPr>
        <w:t xml:space="preserve">measure of sensitivity is variance. </w:t>
      </w:r>
      <w:r w:rsidR="0061110F" w:rsidRPr="003355B8">
        <w:rPr>
          <w:rFonts w:ascii="Times New Roman" w:hAnsi="Times New Roman" w:cs="Times New Roman"/>
          <w:color w:val="auto"/>
          <w:sz w:val="20"/>
          <w:szCs w:val="24"/>
          <w:lang w:val="en-GB" w:eastAsia="de-DE"/>
        </w:rPr>
        <w:t xml:space="preserve">Thus, </w:t>
      </w:r>
      <w:r w:rsidRPr="003355B8">
        <w:rPr>
          <w:rFonts w:ascii="Times New Roman" w:hAnsi="Times New Roman" w:cs="Times New Roman"/>
          <w:color w:val="auto"/>
          <w:sz w:val="20"/>
          <w:szCs w:val="24"/>
          <w:lang w:val="en-GB" w:eastAsia="de-DE"/>
        </w:rPr>
        <w:t xml:space="preserve">variance of a given function under specific disturbance </w:t>
      </w:r>
      <w:r w:rsidR="00632FCB" w:rsidRPr="003355B8">
        <w:rPr>
          <w:rFonts w:ascii="Times New Roman" w:hAnsi="Times New Roman" w:cs="Times New Roman"/>
          <w:color w:val="auto"/>
          <w:sz w:val="20"/>
          <w:szCs w:val="24"/>
          <w:lang w:val="en-GB" w:eastAsia="de-DE"/>
        </w:rPr>
        <w:t xml:space="preserve">or uncertainty </w:t>
      </w:r>
      <w:r w:rsidRPr="003355B8">
        <w:rPr>
          <w:rFonts w:ascii="Times New Roman" w:hAnsi="Times New Roman" w:cs="Times New Roman"/>
          <w:color w:val="auto"/>
          <w:sz w:val="20"/>
          <w:szCs w:val="24"/>
          <w:lang w:val="en-GB" w:eastAsia="de-DE"/>
        </w:rPr>
        <w:t xml:space="preserve">regimes </w:t>
      </w:r>
      <w:r w:rsidR="006F3683" w:rsidRPr="003355B8">
        <w:rPr>
          <w:rFonts w:ascii="Times New Roman" w:hAnsi="Times New Roman" w:cs="Times New Roman"/>
          <w:color w:val="auto"/>
          <w:sz w:val="20"/>
          <w:szCs w:val="24"/>
          <w:lang w:val="en-GB" w:eastAsia="de-DE"/>
        </w:rPr>
        <w:t xml:space="preserve">may </w:t>
      </w:r>
      <w:r w:rsidRPr="003355B8">
        <w:rPr>
          <w:rFonts w:ascii="Times New Roman" w:hAnsi="Times New Roman" w:cs="Times New Roman"/>
          <w:color w:val="auto"/>
          <w:sz w:val="20"/>
          <w:szCs w:val="24"/>
          <w:lang w:val="en-GB" w:eastAsia="de-DE"/>
        </w:rPr>
        <w:t>be used to indicate robustness of that function against those disturbance</w:t>
      </w:r>
      <w:r w:rsidR="00632FCB" w:rsidRPr="003355B8">
        <w:rPr>
          <w:rFonts w:ascii="Times New Roman" w:hAnsi="Times New Roman" w:cs="Times New Roman"/>
          <w:color w:val="auto"/>
          <w:sz w:val="20"/>
          <w:szCs w:val="24"/>
          <w:lang w:val="en-GB" w:eastAsia="de-DE"/>
        </w:rPr>
        <w:t xml:space="preserve"> or uncertainty</w:t>
      </w:r>
      <w:r w:rsidRPr="003355B8">
        <w:rPr>
          <w:rFonts w:ascii="Times New Roman" w:hAnsi="Times New Roman" w:cs="Times New Roman"/>
          <w:color w:val="auto"/>
          <w:sz w:val="20"/>
          <w:szCs w:val="24"/>
          <w:lang w:val="en-GB" w:eastAsia="de-DE"/>
        </w:rPr>
        <w:t xml:space="preserve"> regimes (robustness of what to what). In this case, the system function of interest is the system resilience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oMath>
      <w:r w:rsidRPr="003355B8">
        <w:rPr>
          <w:rFonts w:ascii="Times New Roman" w:hAnsi="Times New Roman" w:cs="Times New Roman"/>
          <w:color w:val="auto"/>
          <w:sz w:val="20"/>
          <w:szCs w:val="24"/>
          <w:lang w:val="en-GB" w:eastAsia="de-DE"/>
        </w:rPr>
        <w:t>.</w:t>
      </w:r>
      <w:r w:rsidR="00FF32F2" w:rsidRPr="003355B8">
        <w:rPr>
          <w:rFonts w:ascii="Times New Roman" w:hAnsi="Times New Roman" w:cs="Times New Roman"/>
          <w:color w:val="auto"/>
          <w:sz w:val="20"/>
          <w:szCs w:val="24"/>
          <w:lang w:val="en-GB" w:eastAsia="de-DE"/>
        </w:rPr>
        <w:t xml:space="preserve"> By choosing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oMath>
      <w:r w:rsidRPr="003355B8">
        <w:rPr>
          <w:rFonts w:ascii="Times New Roman" w:hAnsi="Times New Roman" w:cs="Times New Roman"/>
          <w:color w:val="auto"/>
          <w:sz w:val="20"/>
          <w:szCs w:val="24"/>
          <w:lang w:val="en-GB" w:eastAsia="de-DE"/>
        </w:rPr>
        <w:t xml:space="preserve"> </w:t>
      </w:r>
      <w:r w:rsidR="00FF32F2" w:rsidRPr="003355B8">
        <w:rPr>
          <w:rFonts w:ascii="Times New Roman" w:hAnsi="Times New Roman" w:cs="Times New Roman"/>
          <w:color w:val="auto"/>
          <w:sz w:val="20"/>
          <w:szCs w:val="24"/>
          <w:lang w:val="en-GB" w:eastAsia="de-DE"/>
        </w:rPr>
        <w:t xml:space="preserve">as our </w:t>
      </w:r>
      <w:r w:rsidR="00037A96" w:rsidRPr="003355B8">
        <w:rPr>
          <w:rFonts w:ascii="Times New Roman" w:hAnsi="Times New Roman" w:cs="Times New Roman"/>
          <w:color w:val="auto"/>
          <w:sz w:val="20"/>
          <w:szCs w:val="24"/>
          <w:lang w:val="en-GB" w:eastAsia="de-DE"/>
        </w:rPr>
        <w:t>function</w:t>
      </w:r>
      <w:r w:rsidR="00FF32F2" w:rsidRPr="003355B8">
        <w:rPr>
          <w:rFonts w:ascii="Times New Roman" w:hAnsi="Times New Roman" w:cs="Times New Roman"/>
          <w:color w:val="auto"/>
          <w:sz w:val="20"/>
          <w:szCs w:val="24"/>
          <w:lang w:val="en-GB" w:eastAsia="de-DE"/>
        </w:rPr>
        <w:t>, we can usefully link the</w:t>
      </w:r>
      <w:r w:rsidR="003A633C" w:rsidRPr="003355B8">
        <w:rPr>
          <w:rFonts w:ascii="Times New Roman" w:hAnsi="Times New Roman" w:cs="Times New Roman"/>
          <w:color w:val="auto"/>
          <w:sz w:val="20"/>
          <w:szCs w:val="24"/>
          <w:lang w:val="en-GB" w:eastAsia="de-DE"/>
        </w:rPr>
        <w:t>se</w:t>
      </w:r>
      <w:r w:rsidR="00FF32F2" w:rsidRPr="003355B8">
        <w:rPr>
          <w:rFonts w:ascii="Times New Roman" w:hAnsi="Times New Roman" w:cs="Times New Roman"/>
          <w:color w:val="auto"/>
          <w:sz w:val="20"/>
          <w:szCs w:val="24"/>
          <w:lang w:val="en-GB" w:eastAsia="de-DE"/>
        </w:rPr>
        <w:t xml:space="preserve"> concepts</w:t>
      </w:r>
      <w:r w:rsidR="003A633C" w:rsidRPr="003355B8">
        <w:rPr>
          <w:rFonts w:ascii="Times New Roman" w:hAnsi="Times New Roman" w:cs="Times New Roman"/>
          <w:color w:val="auto"/>
          <w:sz w:val="20"/>
          <w:szCs w:val="24"/>
          <w:lang w:val="en-GB" w:eastAsia="de-DE"/>
        </w:rPr>
        <w:t>.</w:t>
      </w:r>
      <w:r w:rsidR="00FF32F2" w:rsidRPr="003355B8">
        <w:rPr>
          <w:rFonts w:ascii="Times New Roman" w:hAnsi="Times New Roman" w:cs="Times New Roman"/>
          <w:color w:val="auto"/>
          <w:sz w:val="20"/>
          <w:szCs w:val="24"/>
          <w:lang w:val="en-GB" w:eastAsia="de-DE"/>
        </w:rPr>
        <w:t xml:space="preserve"> </w:t>
      </w:r>
      <w:r w:rsidR="00613665" w:rsidRPr="003355B8">
        <w:rPr>
          <w:rFonts w:ascii="Times New Roman" w:hAnsi="Times New Roman" w:cs="Times New Roman"/>
          <w:color w:val="auto"/>
          <w:sz w:val="20"/>
          <w:szCs w:val="24"/>
          <w:lang w:val="en-GB" w:eastAsia="de-DE"/>
        </w:rPr>
        <w:t xml:space="preserve">If we use a ball and cup metaphor for resilience, the robustness of resilience refers to </w:t>
      </w:r>
      <w:r w:rsidR="00C81C04" w:rsidRPr="003355B8">
        <w:rPr>
          <w:rFonts w:ascii="Times New Roman" w:hAnsi="Times New Roman" w:cs="Times New Roman"/>
          <w:color w:val="auto"/>
          <w:sz w:val="20"/>
          <w:szCs w:val="24"/>
          <w:lang w:val="en-GB" w:eastAsia="de-DE"/>
        </w:rPr>
        <w:t>the degree at which</w:t>
      </w:r>
      <w:r w:rsidR="00CA7548" w:rsidRPr="003355B8">
        <w:rPr>
          <w:rFonts w:ascii="Times New Roman" w:hAnsi="Times New Roman" w:cs="Times New Roman"/>
          <w:color w:val="auto"/>
          <w:sz w:val="20"/>
          <w:szCs w:val="24"/>
          <w:lang w:val="en-GB" w:eastAsia="de-DE"/>
        </w:rPr>
        <w:t xml:space="preserve"> the geometry </w:t>
      </w:r>
      <w:r w:rsidR="00C81C04" w:rsidRPr="003355B8">
        <w:rPr>
          <w:rFonts w:ascii="Times New Roman" w:hAnsi="Times New Roman" w:cs="Times New Roman"/>
          <w:color w:val="auto"/>
          <w:sz w:val="20"/>
          <w:szCs w:val="24"/>
          <w:lang w:val="en-GB" w:eastAsia="de-DE"/>
        </w:rPr>
        <w:t>of the cup change</w:t>
      </w:r>
      <w:r w:rsidR="00CA7548" w:rsidRPr="003355B8">
        <w:rPr>
          <w:rFonts w:ascii="Times New Roman" w:hAnsi="Times New Roman" w:cs="Times New Roman"/>
          <w:color w:val="auto"/>
          <w:sz w:val="20"/>
          <w:szCs w:val="24"/>
          <w:lang w:val="en-GB" w:eastAsia="de-DE"/>
        </w:rPr>
        <w:t>s</w:t>
      </w:r>
      <w:r w:rsidR="00C81C04" w:rsidRPr="003355B8">
        <w:rPr>
          <w:rFonts w:ascii="Times New Roman" w:hAnsi="Times New Roman" w:cs="Times New Roman"/>
          <w:color w:val="auto"/>
          <w:sz w:val="20"/>
          <w:szCs w:val="24"/>
          <w:lang w:val="en-GB" w:eastAsia="de-DE"/>
        </w:rPr>
        <w:t xml:space="preserve"> </w:t>
      </w:r>
      <w:proofErr w:type="gramStart"/>
      <w:r w:rsidR="00C81C04" w:rsidRPr="003355B8">
        <w:rPr>
          <w:rFonts w:ascii="Times New Roman" w:hAnsi="Times New Roman" w:cs="Times New Roman"/>
          <w:color w:val="auto"/>
          <w:sz w:val="20"/>
          <w:szCs w:val="24"/>
          <w:lang w:val="en-GB" w:eastAsia="de-DE"/>
        </w:rPr>
        <w:t>as a result of</w:t>
      </w:r>
      <w:proofErr w:type="gramEnd"/>
      <w:r w:rsidR="00C81C04" w:rsidRPr="003355B8">
        <w:rPr>
          <w:rFonts w:ascii="Times New Roman" w:hAnsi="Times New Roman" w:cs="Times New Roman"/>
          <w:color w:val="auto"/>
          <w:sz w:val="20"/>
          <w:szCs w:val="24"/>
          <w:lang w:val="en-GB" w:eastAsia="de-DE"/>
        </w:rPr>
        <w:t xml:space="preserve"> external disturbances and/or </w:t>
      </w:r>
      <w:r w:rsidR="00C81C04" w:rsidRPr="003355B8">
        <w:rPr>
          <w:rFonts w:ascii="Times New Roman" w:hAnsi="Times New Roman" w:cs="Times New Roman"/>
          <w:color w:val="auto"/>
          <w:sz w:val="20"/>
          <w:szCs w:val="24"/>
          <w:lang w:val="en-GB" w:eastAsia="de-DE"/>
        </w:rPr>
        <w:lastRenderedPageBreak/>
        <w:t>parameter changes</w:t>
      </w:r>
      <w:r w:rsidR="00521DC9" w:rsidRPr="003355B8">
        <w:rPr>
          <w:rFonts w:ascii="Times New Roman" w:hAnsi="Times New Roman" w:cs="Times New Roman"/>
          <w:color w:val="auto"/>
          <w:sz w:val="20"/>
          <w:szCs w:val="24"/>
          <w:lang w:val="en-GB" w:eastAsia="de-DE"/>
        </w:rPr>
        <w:t xml:space="preserve">. </w:t>
      </w:r>
      <w:r w:rsidR="006F3683" w:rsidRPr="003355B8">
        <w:rPr>
          <w:rFonts w:ascii="Times New Roman" w:hAnsi="Times New Roman" w:cs="Times New Roman"/>
          <w:color w:val="auto"/>
          <w:sz w:val="20"/>
          <w:szCs w:val="24"/>
          <w:lang w:val="en-GB" w:eastAsia="de-DE"/>
        </w:rPr>
        <w:t xml:space="preserve">However, as we will argue below, </w:t>
      </w:r>
      <w:r w:rsidR="000845DC" w:rsidRPr="003355B8">
        <w:rPr>
          <w:rFonts w:ascii="Times New Roman" w:hAnsi="Times New Roman" w:cs="Times New Roman"/>
          <w:color w:val="auto"/>
          <w:sz w:val="20"/>
          <w:szCs w:val="24"/>
          <w:lang w:val="en-GB" w:eastAsia="de-DE"/>
        </w:rPr>
        <w:t>relating</w:t>
      </w:r>
      <w:r w:rsidR="006F3683" w:rsidRPr="003355B8">
        <w:rPr>
          <w:rFonts w:ascii="Times New Roman" w:hAnsi="Times New Roman" w:cs="Times New Roman"/>
          <w:color w:val="auto"/>
          <w:sz w:val="20"/>
          <w:szCs w:val="24"/>
          <w:lang w:val="en-GB" w:eastAsia="de-DE"/>
        </w:rPr>
        <w:t xml:space="preserve"> high variance of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oMath>
      <w:r w:rsidR="006F3683" w:rsidRPr="003355B8">
        <w:rPr>
          <w:rFonts w:ascii="Times New Roman" w:hAnsi="Times New Roman" w:cs="Times New Roman"/>
          <w:color w:val="auto"/>
          <w:sz w:val="20"/>
          <w:szCs w:val="24"/>
          <w:lang w:val="en-GB" w:eastAsia="de-DE"/>
        </w:rPr>
        <w:t xml:space="preserve"> to low robustness may be misleading and should not be used in evaluating a given policy. </w:t>
      </w:r>
      <w:proofErr w:type="gramStart"/>
      <w:r w:rsidR="006F3683" w:rsidRPr="003355B8">
        <w:rPr>
          <w:rFonts w:ascii="Times New Roman" w:hAnsi="Times New Roman" w:cs="Times New Roman"/>
          <w:color w:val="auto"/>
          <w:sz w:val="20"/>
          <w:szCs w:val="24"/>
          <w:lang w:val="en-GB" w:eastAsia="de-DE"/>
        </w:rPr>
        <w:t>By definition, the</w:t>
      </w:r>
      <w:proofErr w:type="gramEnd"/>
      <w:r w:rsidR="006F3683" w:rsidRPr="003355B8">
        <w:rPr>
          <w:rFonts w:ascii="Times New Roman" w:hAnsi="Times New Roman" w:cs="Times New Roman"/>
          <w:color w:val="auto"/>
          <w:sz w:val="20"/>
          <w:szCs w:val="24"/>
          <w:lang w:val="en-GB" w:eastAsia="de-DE"/>
        </w:rPr>
        <w:t xml:space="preserve"> variance treats “good deviations” and “bad deviations” from the mean equal</w:t>
      </w:r>
      <w:proofErr w:type="spellStart"/>
      <w:r w:rsidR="006F3683" w:rsidRPr="003355B8">
        <w:rPr>
          <w:rFonts w:ascii="Times New Roman" w:hAnsi="Times New Roman" w:cs="Times New Roman"/>
          <w:color w:val="auto"/>
          <w:sz w:val="20"/>
          <w:szCs w:val="24"/>
          <w:lang w:val="en-GB" w:eastAsia="de-DE"/>
        </w:rPr>
        <w:t>ly</w:t>
      </w:r>
      <w:proofErr w:type="spellEnd"/>
      <w:r w:rsidR="006F3683" w:rsidRPr="003355B8">
        <w:rPr>
          <w:rFonts w:ascii="Times New Roman" w:hAnsi="Times New Roman" w:cs="Times New Roman"/>
          <w:color w:val="auto"/>
          <w:sz w:val="20"/>
          <w:szCs w:val="24"/>
          <w:lang w:val="en-GB" w:eastAsia="de-DE"/>
        </w:rPr>
        <w:t xml:space="preserve">. For functions with </w:t>
      </w:r>
      <w:r w:rsidR="00C949C7" w:rsidRPr="003355B8">
        <w:rPr>
          <w:rFonts w:ascii="Times New Roman" w:hAnsi="Times New Roman" w:cs="Times New Roman"/>
          <w:color w:val="auto"/>
          <w:sz w:val="20"/>
          <w:szCs w:val="24"/>
          <w:lang w:val="en-GB" w:eastAsia="de-DE"/>
        </w:rPr>
        <w:t>preferred</w:t>
      </w:r>
      <w:r w:rsidR="006F3683" w:rsidRPr="003355B8">
        <w:rPr>
          <w:rFonts w:ascii="Times New Roman" w:hAnsi="Times New Roman" w:cs="Times New Roman"/>
          <w:color w:val="auto"/>
          <w:sz w:val="20"/>
          <w:szCs w:val="24"/>
          <w:lang w:val="en-GB" w:eastAsia="de-DE"/>
        </w:rPr>
        <w:t xml:space="preserve"> values, such as resilience</w:t>
      </w:r>
      <w:r w:rsidR="00C949C7" w:rsidRPr="003355B8">
        <w:rPr>
          <w:rFonts w:ascii="Times New Roman" w:hAnsi="Times New Roman" w:cs="Times New Roman"/>
          <w:color w:val="auto"/>
          <w:sz w:val="20"/>
          <w:szCs w:val="24"/>
          <w:lang w:val="en-GB" w:eastAsia="de-DE"/>
        </w:rPr>
        <w:t xml:space="preserve"> or profit</w:t>
      </w:r>
      <w:r w:rsidR="006F3683" w:rsidRPr="003355B8">
        <w:rPr>
          <w:rFonts w:ascii="Times New Roman" w:hAnsi="Times New Roman" w:cs="Times New Roman"/>
          <w:color w:val="auto"/>
          <w:sz w:val="20"/>
          <w:szCs w:val="24"/>
          <w:lang w:val="en-GB" w:eastAsia="de-DE"/>
        </w:rPr>
        <w:t>,</w:t>
      </w:r>
      <w:r w:rsidR="00C949C7" w:rsidRPr="003355B8">
        <w:rPr>
          <w:rFonts w:ascii="Times New Roman" w:hAnsi="Times New Roman" w:cs="Times New Roman"/>
          <w:color w:val="auto"/>
          <w:sz w:val="20"/>
          <w:szCs w:val="24"/>
          <w:lang w:val="en-GB" w:eastAsia="de-DE"/>
        </w:rPr>
        <w:t xml:space="preserve"> values greater than the mean and those lower should not be treated in the same way. </w:t>
      </w:r>
      <w:r w:rsidR="0061110F" w:rsidRPr="003355B8">
        <w:rPr>
          <w:rFonts w:ascii="Times New Roman" w:hAnsi="Times New Roman" w:cs="Times New Roman"/>
          <w:color w:val="auto"/>
          <w:sz w:val="20"/>
          <w:szCs w:val="24"/>
          <w:lang w:eastAsia="de-DE"/>
        </w:rPr>
        <w:t xml:space="preserve">Specifically, contribution to a high variance from a heavy tail in the good direction should not be translated to less robustness. </w:t>
      </w:r>
      <w:r w:rsidR="00C949C7" w:rsidRPr="003355B8">
        <w:rPr>
          <w:rFonts w:ascii="Times New Roman" w:hAnsi="Times New Roman" w:cs="Times New Roman"/>
          <w:color w:val="auto"/>
          <w:sz w:val="20"/>
          <w:szCs w:val="24"/>
          <w:lang w:val="en-GB" w:eastAsia="de-DE"/>
        </w:rPr>
        <w:t xml:space="preserve">This problem also arises in assessing financial risk: what makes </w:t>
      </w:r>
      <w:r w:rsidR="00822070" w:rsidRPr="003355B8">
        <w:rPr>
          <w:rFonts w:ascii="Times New Roman" w:hAnsi="Times New Roman" w:cs="Times New Roman"/>
          <w:color w:val="auto"/>
          <w:sz w:val="20"/>
          <w:szCs w:val="24"/>
          <w:lang w:val="en-GB" w:eastAsia="de-DE"/>
        </w:rPr>
        <w:t>an asset</w:t>
      </w:r>
      <w:r w:rsidR="00C949C7" w:rsidRPr="003355B8">
        <w:rPr>
          <w:rFonts w:ascii="Times New Roman" w:hAnsi="Times New Roman" w:cs="Times New Roman"/>
          <w:color w:val="auto"/>
          <w:sz w:val="20"/>
          <w:szCs w:val="24"/>
          <w:lang w:val="en-GB" w:eastAsia="de-DE"/>
        </w:rPr>
        <w:t xml:space="preserve"> risky is the values on the “bad tail” of the distribution (i.e., low or negative profits). This has motivated </w:t>
      </w:r>
      <w:r w:rsidR="00C949C7" w:rsidRPr="003355B8">
        <w:rPr>
          <w:rFonts w:ascii="Times New Roman" w:hAnsi="Times New Roman" w:cs="Times New Roman"/>
          <w:color w:val="auto"/>
          <w:sz w:val="20"/>
          <w:szCs w:val="24"/>
          <w:lang w:eastAsia="de-DE"/>
        </w:rPr>
        <w:t xml:space="preserve">more and more analyses </w:t>
      </w:r>
      <w:r w:rsidR="0061110F" w:rsidRPr="003355B8">
        <w:rPr>
          <w:rFonts w:ascii="Times New Roman" w:hAnsi="Times New Roman" w:cs="Times New Roman"/>
          <w:color w:val="auto"/>
          <w:sz w:val="20"/>
          <w:szCs w:val="24"/>
          <w:lang w:eastAsia="de-DE"/>
        </w:rPr>
        <w:t xml:space="preserve">to </w:t>
      </w:r>
      <w:r w:rsidR="00C949C7" w:rsidRPr="003355B8">
        <w:rPr>
          <w:rFonts w:ascii="Times New Roman" w:hAnsi="Times New Roman" w:cs="Times New Roman"/>
          <w:color w:val="auto"/>
          <w:sz w:val="20"/>
          <w:szCs w:val="24"/>
          <w:lang w:eastAsia="de-DE"/>
        </w:rPr>
        <w:t>switch to considering other measures of risk, such as the conditional value at risk, in evaluating their portfolios of investment</w:t>
      </w:r>
      <w:r w:rsidR="0061110F" w:rsidRPr="003355B8">
        <w:rPr>
          <w:rFonts w:ascii="Times New Roman" w:hAnsi="Times New Roman" w:cs="Times New Roman"/>
          <w:color w:val="auto"/>
          <w:sz w:val="20"/>
          <w:szCs w:val="24"/>
          <w:lang w:eastAsia="de-DE"/>
        </w:rPr>
        <w:t xml:space="preserve"> </w:t>
      </w:r>
      <w:r w:rsidR="00346E19" w:rsidRPr="003355B8">
        <w:rPr>
          <w:rFonts w:ascii="Times New Roman" w:hAnsi="Times New Roman" w:cs="Times New Roman"/>
          <w:color w:val="auto"/>
          <w:sz w:val="20"/>
          <w:szCs w:val="24"/>
          <w:lang w:eastAsia="de-DE"/>
        </w:rPr>
        <w:fldChar w:fldCharType="begin" w:fldLock="1"/>
      </w:r>
      <w:r w:rsidR="00825D7E" w:rsidRPr="003355B8">
        <w:rPr>
          <w:rFonts w:ascii="Times New Roman" w:hAnsi="Times New Roman" w:cs="Times New Roman"/>
          <w:color w:val="auto"/>
          <w:sz w:val="20"/>
          <w:szCs w:val="24"/>
          <w:lang w:eastAsia="de-DE"/>
        </w:rPr>
        <w:instrText>ADDIN CSL_CITATION { "citationItems" : [ { "id" : "ITEM-1", "itemData" : { "author" : [ { "dropping-particle" : "", "family" : "Rockafellar", "given" : "R Tyrrell", "non-dropping-particle" : "", "parse-names" : false, "suffix" : "" }, { "dropping-particle" : "", "family" : "Uryasev", "given" : "Stanislav", "non-dropping-particle" : "", "parse-names" : false, "suffix" : "" } ], "id" : "ITEM-1", "issued" : { "date-parts" : [ [ "1999" ] ] }, "page" : "1-26", "title" : "Optimization of Conditional Value-at-Risk", "type" : "article-journal" }, "uris" : [ "http://www.mendeley.com/documents/?uuid=dd08f2c5-ff43-40bd-8141-2a4c4670ff84" ] } ], "mendeley" : { "formattedCitation" : "(Rockafellar and Uryasev)", "manualFormatting" : "(Rockafellar and Uryasev, 1999; ", "plainTextFormattedCitation" : "(Rockafellar and Uryasev)", "previouslyFormattedCitation" : "(Rockafellar and Uryasev)" }, "properties" : { "noteIndex" : 0 }, "schema" : "https://github.com/citation-style-language/schema/raw/master/csl-citation.json" }</w:instrText>
      </w:r>
      <w:r w:rsidR="00346E19" w:rsidRPr="003355B8">
        <w:rPr>
          <w:rFonts w:ascii="Times New Roman" w:hAnsi="Times New Roman" w:cs="Times New Roman"/>
          <w:color w:val="auto"/>
          <w:sz w:val="20"/>
          <w:szCs w:val="24"/>
          <w:lang w:eastAsia="de-DE"/>
        </w:rPr>
        <w:fldChar w:fldCharType="separate"/>
      </w:r>
      <w:r w:rsidR="00346E19" w:rsidRPr="003355B8">
        <w:rPr>
          <w:rFonts w:ascii="Times New Roman" w:hAnsi="Times New Roman" w:cs="Times New Roman"/>
          <w:noProof/>
          <w:color w:val="auto"/>
          <w:sz w:val="20"/>
          <w:szCs w:val="24"/>
          <w:lang w:eastAsia="de-DE"/>
        </w:rPr>
        <w:t xml:space="preserve">(Rockafellar and Uryasev, </w:t>
      </w:r>
      <w:r w:rsidR="00825D7E" w:rsidRPr="003355B8">
        <w:rPr>
          <w:rFonts w:ascii="Times New Roman" w:hAnsi="Times New Roman" w:cs="Times New Roman"/>
          <w:noProof/>
          <w:color w:val="auto"/>
          <w:sz w:val="20"/>
          <w:szCs w:val="24"/>
          <w:lang w:eastAsia="de-DE"/>
        </w:rPr>
        <w:t>1999</w:t>
      </w:r>
      <w:r w:rsidR="005F609C" w:rsidRPr="003355B8">
        <w:rPr>
          <w:rFonts w:ascii="Times New Roman" w:hAnsi="Times New Roman" w:cs="Times New Roman"/>
          <w:noProof/>
          <w:color w:val="auto"/>
          <w:sz w:val="20"/>
          <w:szCs w:val="24"/>
          <w:lang w:eastAsia="de-DE"/>
        </w:rPr>
        <w:t xml:space="preserve">; </w:t>
      </w:r>
      <w:r w:rsidR="00346E19" w:rsidRPr="003355B8">
        <w:rPr>
          <w:rFonts w:ascii="Times New Roman" w:hAnsi="Times New Roman" w:cs="Times New Roman"/>
          <w:color w:val="auto"/>
          <w:sz w:val="20"/>
          <w:szCs w:val="24"/>
          <w:lang w:eastAsia="de-DE"/>
        </w:rPr>
        <w:fldChar w:fldCharType="end"/>
      </w:r>
      <w:r w:rsidR="00F9149B" w:rsidRPr="003355B8">
        <w:rPr>
          <w:rFonts w:ascii="Times New Roman" w:hAnsi="Times New Roman" w:cs="Times New Roman"/>
          <w:color w:val="auto"/>
          <w:sz w:val="20"/>
          <w:szCs w:val="24"/>
          <w:lang w:eastAsia="de-DE"/>
        </w:rPr>
        <w:fldChar w:fldCharType="begin" w:fldLock="1"/>
      </w:r>
      <w:r w:rsidR="00EB77A4" w:rsidRPr="003355B8">
        <w:rPr>
          <w:rFonts w:ascii="Times New Roman" w:hAnsi="Times New Roman" w:cs="Times New Roman"/>
          <w:color w:val="auto"/>
          <w:sz w:val="20"/>
          <w:szCs w:val="24"/>
          <w:lang w:eastAsia="de-DE"/>
        </w:rPr>
        <w:instrText>ADDIN CSL_CITATION { "citationItems" : [ { "id" : "ITEM-1", "itemData" : { "author" : [ { "dropping-particle" : "", "family" : "Krokhmal", "given" : "Pavlo", "non-dropping-particle" : "", "parse-names" : false, "suffix" : "" }, { "dropping-particle" : "", "family" : "Palmquist", "given" : "Jonas", "non-dropping-particle" : "", "parse-names" : false, "suffix" : "" }, { "dropping-particle" : "", "family" : "Uryasev", "given" : "Stanislav", "non-dropping-particle" : "", "parse-names" : false, "suffix" : "" } ], "id" : "ITEM-1", "issue" : "352", "issued" : { "date-parts" : [ [ "2001" ] ] }, "page" : "1-30", "title" : "PORTFOLIO OPTIMIZATION WITH CONDITIONAL VALUE-AT-RISK OBJECTIVE AND CONSTRAINTS", "type" : "article-journal" }, "uris" : [ "http://www.mendeley.com/documents/?uuid=9ec607f7-77a1-4f3f-850f-9cb234cdafd4" ] } ], "mendeley" : { "formattedCitation" : "(Krokhmal et al.)", "manualFormatting" : "Krokhmal et al., 2002", "plainTextFormattedCitation" : "(Krokhmal et al.)", "previouslyFormattedCitation" : "(Krokhmal et al.)" }, "properties" : { "noteIndex" : 0 }, "schema" : "https://github.com/citation-style-language/schema/raw/master/csl-citation.json" }</w:instrText>
      </w:r>
      <w:r w:rsidR="00F9149B" w:rsidRPr="003355B8">
        <w:rPr>
          <w:rFonts w:ascii="Times New Roman" w:hAnsi="Times New Roman" w:cs="Times New Roman"/>
          <w:color w:val="auto"/>
          <w:sz w:val="20"/>
          <w:szCs w:val="24"/>
          <w:lang w:eastAsia="de-DE"/>
        </w:rPr>
        <w:fldChar w:fldCharType="separate"/>
      </w:r>
      <w:r w:rsidR="00F9149B" w:rsidRPr="003355B8">
        <w:rPr>
          <w:rFonts w:ascii="Times New Roman" w:hAnsi="Times New Roman" w:cs="Times New Roman"/>
          <w:noProof/>
          <w:color w:val="auto"/>
          <w:sz w:val="20"/>
          <w:szCs w:val="24"/>
          <w:lang w:eastAsia="de-DE"/>
        </w:rPr>
        <w:t>Krokhmal et al.</w:t>
      </w:r>
      <w:r w:rsidR="005F609C" w:rsidRPr="003355B8">
        <w:rPr>
          <w:rFonts w:ascii="Times New Roman" w:hAnsi="Times New Roman" w:cs="Times New Roman"/>
          <w:noProof/>
          <w:color w:val="auto"/>
          <w:sz w:val="20"/>
          <w:szCs w:val="24"/>
          <w:lang w:eastAsia="de-DE"/>
        </w:rPr>
        <w:t>, 200</w:t>
      </w:r>
      <w:r w:rsidR="0047357F" w:rsidRPr="003355B8">
        <w:rPr>
          <w:rFonts w:ascii="Times New Roman" w:hAnsi="Times New Roman" w:cs="Times New Roman"/>
          <w:noProof/>
          <w:color w:val="auto"/>
          <w:sz w:val="20"/>
          <w:szCs w:val="24"/>
          <w:lang w:eastAsia="de-DE"/>
        </w:rPr>
        <w:t>1</w:t>
      </w:r>
      <w:r w:rsidR="00F9149B" w:rsidRPr="003355B8">
        <w:rPr>
          <w:rFonts w:ascii="Times New Roman" w:hAnsi="Times New Roman" w:cs="Times New Roman"/>
          <w:color w:val="auto"/>
          <w:sz w:val="20"/>
          <w:szCs w:val="24"/>
          <w:lang w:eastAsia="de-DE"/>
        </w:rPr>
        <w:fldChar w:fldCharType="end"/>
      </w:r>
      <w:r w:rsidR="00EB77A4" w:rsidRPr="003355B8">
        <w:rPr>
          <w:rFonts w:ascii="Times New Roman" w:hAnsi="Times New Roman" w:cs="Times New Roman"/>
          <w:color w:val="auto"/>
          <w:sz w:val="20"/>
          <w:szCs w:val="24"/>
          <w:lang w:eastAsia="de-DE"/>
        </w:rPr>
        <w:fldChar w:fldCharType="begin" w:fldLock="1"/>
      </w:r>
      <w:r w:rsidR="00E1177E" w:rsidRPr="003355B8">
        <w:rPr>
          <w:rFonts w:ascii="Times New Roman" w:hAnsi="Times New Roman" w:cs="Times New Roman"/>
          <w:color w:val="auto"/>
          <w:sz w:val="20"/>
          <w:szCs w:val="24"/>
          <w:lang w:eastAsia="de-DE"/>
        </w:rPr>
        <w:instrText>ADDIN CSL_CITATION { "citationItems" : [ { "id" : "ITEM-1", "itemData" : { "DOI" : "10.1287/educ.1080.0052", "ISBN" : "9781877640230", "author" : [ { "dropping-particle" : "", "family" : "Sarykalin", "given" : "Sergey", "non-dropping-particle" : "", "parse-names" : false, "suffix" : "" }, { "dropping-particle" : "", "family" : "Serraino", "given" : "Gaia", "non-dropping-particle" : "", "parse-names" : false, "suffix" : "" }, { "dropping-particle" : "", "family" : "Uryasev", "given" : "Stan", "non-dropping-particle" : "", "parse-names" : false, "suffix" : "" } ], "id" : "ITEM-1", "issued" : { "date-parts" : [ [ "2008" ] ] }, "page" : "270-294", "title" : "Value-at-Risk vs . Conditional Value-at-Risk in Risk Management and Optimization", "type" : "article-journal" }, "uris" : [ "http://www.mendeley.com/documents/?uuid=53f6f639-f483-4adb-b3c5-3009b4e71cb7" ] } ], "mendeley" : { "formattedCitation" : "(Sarykalin et al.)", "manualFormatting" : "; Sarykalin et al., 2008;", "plainTextFormattedCitation" : "(Sarykalin et al.)", "previouslyFormattedCitation" : "(Sarykalin et al.)" }, "properties" : { "noteIndex" : 0 }, "schema" : "https://github.com/citation-style-language/schema/raw/master/csl-citation.json" }</w:instrText>
      </w:r>
      <w:r w:rsidR="00EB77A4" w:rsidRPr="003355B8">
        <w:rPr>
          <w:rFonts w:ascii="Times New Roman" w:hAnsi="Times New Roman" w:cs="Times New Roman"/>
          <w:color w:val="auto"/>
          <w:sz w:val="20"/>
          <w:szCs w:val="24"/>
          <w:lang w:eastAsia="de-DE"/>
        </w:rPr>
        <w:fldChar w:fldCharType="separate"/>
      </w:r>
      <w:r w:rsidR="00EB77A4" w:rsidRPr="003355B8">
        <w:rPr>
          <w:rFonts w:ascii="Times New Roman" w:hAnsi="Times New Roman" w:cs="Times New Roman"/>
          <w:noProof/>
          <w:color w:val="auto"/>
          <w:sz w:val="20"/>
          <w:szCs w:val="24"/>
          <w:lang w:eastAsia="de-DE"/>
        </w:rPr>
        <w:t>; Sarykalin et al., 2008</w:t>
      </w:r>
      <w:r w:rsidR="00E1177E" w:rsidRPr="003355B8">
        <w:rPr>
          <w:rFonts w:ascii="Times New Roman" w:hAnsi="Times New Roman" w:cs="Times New Roman"/>
          <w:noProof/>
          <w:color w:val="auto"/>
          <w:sz w:val="20"/>
          <w:szCs w:val="24"/>
          <w:lang w:eastAsia="de-DE"/>
        </w:rPr>
        <w:t xml:space="preserve">; </w:t>
      </w:r>
      <w:r w:rsidR="00EB77A4" w:rsidRPr="003355B8">
        <w:rPr>
          <w:rFonts w:ascii="Times New Roman" w:hAnsi="Times New Roman" w:cs="Times New Roman"/>
          <w:color w:val="auto"/>
          <w:sz w:val="20"/>
          <w:szCs w:val="24"/>
          <w:lang w:eastAsia="de-DE"/>
        </w:rPr>
        <w:fldChar w:fldCharType="end"/>
      </w:r>
      <w:r w:rsidR="00E1177E" w:rsidRPr="003355B8">
        <w:rPr>
          <w:rFonts w:ascii="Times New Roman" w:hAnsi="Times New Roman" w:cs="Times New Roman"/>
          <w:color w:val="auto"/>
          <w:sz w:val="20"/>
          <w:szCs w:val="24"/>
          <w:lang w:eastAsia="de-DE"/>
        </w:rPr>
        <w:fldChar w:fldCharType="begin" w:fldLock="1"/>
      </w:r>
      <w:r w:rsidR="00E1177E" w:rsidRPr="003355B8">
        <w:rPr>
          <w:rFonts w:ascii="Times New Roman" w:hAnsi="Times New Roman" w:cs="Times New Roman"/>
          <w:color w:val="auto"/>
          <w:sz w:val="20"/>
          <w:szCs w:val="24"/>
          <w:lang w:eastAsia="de-DE"/>
        </w:rPr>
        <w:instrText>ADDIN CSL_CITATION { "citationItems" : [ { "id" : "ITEM-1", "itemData" : { "author" : [ { "dropping-particle" : "", "family" : "Zymler", "given" : "Steve", "non-dropping-particle" : "", "parse-names" : false, "suffix" : "" }, { "dropping-particle" : "", "family" : "Kuhn", "given" : "Daniel", "non-dropping-particle" : "", "parse-names" : false, "suffix" : "" }, { "dropping-particle" : "", "family" : "Rustem", "given" : "Ber\u00e7", "non-dropping-particle" : "", "parse-names" : false, "suffix" : "" } ], "id" : "ITEM-1", "issue" : "1", "issued" : { "date-parts" : [ [ "2013" ] ] }, "page" : "172-188", "title" : "Worst-Case Value at Risk of Nonlinear Portfolios", "type" : "article-journal", "volume" : "59" }, "uris" : [ "http://www.mendeley.com/documents/?uuid=a12c57d1-1cf6-4b56-a3ea-996b6cd800c0" ] } ], "mendeley" : { "formattedCitation" : "(Zymler et al.)", "manualFormatting" : "Zymler et al., 2013)", "plainTextFormattedCitation" : "(Zymler et al.)" }, "properties" : { "noteIndex" : 0 }, "schema" : "https://github.com/citation-style-language/schema/raw/master/csl-citation.json" }</w:instrText>
      </w:r>
      <w:r w:rsidR="00E1177E" w:rsidRPr="003355B8">
        <w:rPr>
          <w:rFonts w:ascii="Times New Roman" w:hAnsi="Times New Roman" w:cs="Times New Roman"/>
          <w:color w:val="auto"/>
          <w:sz w:val="20"/>
          <w:szCs w:val="24"/>
          <w:lang w:eastAsia="de-DE"/>
        </w:rPr>
        <w:fldChar w:fldCharType="separate"/>
      </w:r>
      <w:r w:rsidR="00E1177E" w:rsidRPr="003355B8">
        <w:rPr>
          <w:rFonts w:ascii="Times New Roman" w:hAnsi="Times New Roman" w:cs="Times New Roman"/>
          <w:noProof/>
          <w:color w:val="auto"/>
          <w:sz w:val="20"/>
          <w:szCs w:val="24"/>
          <w:lang w:eastAsia="de-DE"/>
        </w:rPr>
        <w:t>Zymler et al., 2013)</w:t>
      </w:r>
      <w:r w:rsidR="00E1177E" w:rsidRPr="003355B8">
        <w:rPr>
          <w:rFonts w:ascii="Times New Roman" w:hAnsi="Times New Roman" w:cs="Times New Roman"/>
          <w:color w:val="auto"/>
          <w:sz w:val="20"/>
          <w:szCs w:val="24"/>
          <w:lang w:eastAsia="de-DE"/>
        </w:rPr>
        <w:fldChar w:fldCharType="end"/>
      </w:r>
      <w:r w:rsidR="00C949C7" w:rsidRPr="003355B8">
        <w:rPr>
          <w:rFonts w:ascii="Times New Roman" w:hAnsi="Times New Roman" w:cs="Times New Roman"/>
          <w:color w:val="auto"/>
          <w:sz w:val="20"/>
          <w:szCs w:val="24"/>
          <w:lang w:eastAsia="de-DE"/>
        </w:rPr>
        <w:t>.</w:t>
      </w:r>
      <w:r w:rsidR="00822070" w:rsidRPr="003355B8">
        <w:rPr>
          <w:rFonts w:ascii="Times New Roman" w:hAnsi="Times New Roman" w:cs="Times New Roman"/>
          <w:color w:val="auto"/>
          <w:sz w:val="20"/>
          <w:szCs w:val="24"/>
          <w:lang w:eastAsia="de-DE"/>
        </w:rPr>
        <w:t xml:space="preserve"> Intuitively, this means that the </w:t>
      </w:r>
      <w:r w:rsidR="00C81C04" w:rsidRPr="003355B8">
        <w:rPr>
          <w:rFonts w:ascii="Times New Roman" w:hAnsi="Times New Roman" w:cs="Times New Roman"/>
          <w:color w:val="auto"/>
          <w:sz w:val="20"/>
          <w:szCs w:val="24"/>
          <w:lang w:eastAsia="de-DE"/>
        </w:rPr>
        <w:t xml:space="preserve">shape of the </w:t>
      </w:r>
      <w:r w:rsidR="00822070" w:rsidRPr="003355B8">
        <w:rPr>
          <w:rFonts w:ascii="Times New Roman" w:hAnsi="Times New Roman" w:cs="Times New Roman"/>
          <w:color w:val="auto"/>
          <w:sz w:val="20"/>
          <w:szCs w:val="24"/>
          <w:lang w:eastAsia="de-DE"/>
        </w:rPr>
        <w:t xml:space="preserve">“cup” can be asymmetric and we need to take this into account. </w:t>
      </w:r>
    </w:p>
    <w:p w14:paraId="308B9152" w14:textId="403B5DE8" w:rsidR="00C949C7" w:rsidRPr="003355B8" w:rsidRDefault="00C949C7" w:rsidP="00C949C7">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eastAsia="de-DE"/>
        </w:rPr>
        <w:t>Following th</w:t>
      </w:r>
      <w:r w:rsidR="00822070" w:rsidRPr="003355B8">
        <w:rPr>
          <w:rFonts w:ascii="Times New Roman" w:hAnsi="Times New Roman" w:cs="Times New Roman"/>
          <w:color w:val="auto"/>
          <w:sz w:val="20"/>
          <w:szCs w:val="24"/>
          <w:lang w:eastAsia="de-DE"/>
        </w:rPr>
        <w:t>is</w:t>
      </w:r>
      <w:r w:rsidRPr="003355B8">
        <w:rPr>
          <w:rFonts w:ascii="Times New Roman" w:hAnsi="Times New Roman" w:cs="Times New Roman"/>
          <w:color w:val="auto"/>
          <w:sz w:val="20"/>
          <w:szCs w:val="24"/>
          <w:lang w:eastAsia="de-DE"/>
        </w:rPr>
        <w:t xml:space="preserve"> logic, we propose to use a “below-mean mean” as a new robustness metric, i.e., the mean of all resilience values </w:t>
      </w:r>
      <w:r w:rsidR="0061110F" w:rsidRPr="003355B8">
        <w:rPr>
          <w:rFonts w:ascii="Times New Roman" w:hAnsi="Times New Roman" w:cs="Times New Roman"/>
          <w:color w:val="auto"/>
          <w:sz w:val="20"/>
          <w:szCs w:val="24"/>
          <w:lang w:eastAsia="de-DE"/>
        </w:rPr>
        <w:t xml:space="preserve">lower than the mean, i.e., those values </w:t>
      </w:r>
      <w:r w:rsidRPr="003355B8">
        <w:rPr>
          <w:rFonts w:ascii="Times New Roman" w:hAnsi="Times New Roman" w:cs="Times New Roman"/>
          <w:color w:val="auto"/>
          <w:sz w:val="20"/>
          <w:szCs w:val="24"/>
          <w:lang w:eastAsia="de-DE"/>
        </w:rPr>
        <w:t>associated with the “bad deviations.” This new definition of the robustness metric has several desirable features. First, it can now be appropriately thought of as a robustness metric in the sense that the higher the value, the more robust the system (unlike the variance for which low variance means high robustness). Second, by using the mean as the threshold value for bad deviations, we remove some arbitrariness associated with prescribing a certain quantile (e.g., 5</w:t>
      </w:r>
      <w:r w:rsidRPr="003355B8">
        <w:rPr>
          <w:rFonts w:ascii="Times New Roman" w:hAnsi="Times New Roman" w:cs="Times New Roman"/>
          <w:color w:val="auto"/>
          <w:sz w:val="20"/>
          <w:szCs w:val="24"/>
          <w:vertAlign w:val="superscript"/>
          <w:lang w:eastAsia="de-DE"/>
        </w:rPr>
        <w:t>th</w:t>
      </w:r>
      <w:r w:rsidRPr="003355B8">
        <w:rPr>
          <w:rFonts w:ascii="Times New Roman" w:hAnsi="Times New Roman" w:cs="Times New Roman"/>
          <w:color w:val="auto"/>
          <w:sz w:val="20"/>
          <w:szCs w:val="24"/>
          <w:lang w:eastAsia="de-DE"/>
        </w:rPr>
        <w:t xml:space="preserve"> or 10</w:t>
      </w:r>
      <w:r w:rsidRPr="003355B8">
        <w:rPr>
          <w:rFonts w:ascii="Times New Roman" w:hAnsi="Times New Roman" w:cs="Times New Roman"/>
          <w:color w:val="auto"/>
          <w:sz w:val="20"/>
          <w:szCs w:val="24"/>
          <w:vertAlign w:val="superscript"/>
          <w:lang w:eastAsia="de-DE"/>
        </w:rPr>
        <w:t>th</w:t>
      </w:r>
      <w:r w:rsidRPr="003355B8">
        <w:rPr>
          <w:rFonts w:ascii="Times New Roman" w:hAnsi="Times New Roman" w:cs="Times New Roman"/>
          <w:color w:val="auto"/>
          <w:sz w:val="20"/>
          <w:szCs w:val="24"/>
          <w:lang w:eastAsia="de-DE"/>
        </w:rPr>
        <w:t xml:space="preserve"> quantile) in calculating the </w:t>
      </w:r>
      <w:r w:rsidR="0061110F" w:rsidRPr="003355B8">
        <w:rPr>
          <w:rFonts w:ascii="Times New Roman" w:hAnsi="Times New Roman" w:cs="Times New Roman"/>
          <w:color w:val="auto"/>
          <w:sz w:val="20"/>
          <w:szCs w:val="24"/>
          <w:lang w:eastAsia="de-DE"/>
        </w:rPr>
        <w:t>conditional value at risk</w:t>
      </w:r>
      <w:r w:rsidRPr="003355B8">
        <w:rPr>
          <w:rFonts w:ascii="Times New Roman" w:hAnsi="Times New Roman" w:cs="Times New Roman"/>
          <w:color w:val="auto"/>
          <w:sz w:val="20"/>
          <w:szCs w:val="24"/>
          <w:lang w:eastAsia="de-DE"/>
        </w:rPr>
        <w:t>. Third, it still carries some information about the sensitivity of the resilience metric to outside factors</w:t>
      </w:r>
      <w:r w:rsidR="0061110F" w:rsidRPr="003355B8">
        <w:rPr>
          <w:rFonts w:ascii="Times New Roman" w:hAnsi="Times New Roman" w:cs="Times New Roman"/>
          <w:color w:val="auto"/>
          <w:sz w:val="20"/>
          <w:szCs w:val="24"/>
          <w:lang w:eastAsia="de-DE"/>
        </w:rPr>
        <w:t>—</w:t>
      </w:r>
      <w:r w:rsidRPr="003355B8">
        <w:rPr>
          <w:rFonts w:ascii="Times New Roman" w:hAnsi="Times New Roman" w:cs="Times New Roman"/>
          <w:color w:val="auto"/>
          <w:sz w:val="20"/>
          <w:szCs w:val="24"/>
          <w:lang w:eastAsia="de-DE"/>
        </w:rPr>
        <w:t>the information that variance conveys; that is, the higher the “below-mean mean” (i.e., the bad deviations from the mean are small</w:t>
      </w:r>
      <w:r w:rsidR="0061110F" w:rsidRPr="003355B8">
        <w:rPr>
          <w:rFonts w:ascii="Times New Roman" w:hAnsi="Times New Roman" w:cs="Times New Roman"/>
          <w:color w:val="auto"/>
          <w:sz w:val="20"/>
          <w:szCs w:val="24"/>
          <w:lang w:eastAsia="de-DE"/>
        </w:rPr>
        <w:t xml:space="preserve"> and the below-mean mean is close to the mean</w:t>
      </w:r>
      <w:r w:rsidRPr="003355B8">
        <w:rPr>
          <w:rFonts w:ascii="Times New Roman" w:hAnsi="Times New Roman" w:cs="Times New Roman"/>
          <w:color w:val="auto"/>
          <w:sz w:val="20"/>
          <w:szCs w:val="24"/>
          <w:lang w:eastAsia="de-DE"/>
        </w:rPr>
        <w:t>), the less se</w:t>
      </w:r>
      <w:r w:rsidR="0061110F" w:rsidRPr="003355B8">
        <w:rPr>
          <w:rFonts w:ascii="Times New Roman" w:hAnsi="Times New Roman" w:cs="Times New Roman"/>
          <w:color w:val="auto"/>
          <w:sz w:val="20"/>
          <w:szCs w:val="24"/>
          <w:lang w:eastAsia="de-DE"/>
        </w:rPr>
        <w:t>nsitive—and thus more robust—the resilience metric.</w:t>
      </w:r>
    </w:p>
    <w:p w14:paraId="300D2D59" w14:textId="4C96C89B" w:rsidR="004A25E8" w:rsidRPr="003355B8" w:rsidRDefault="004A25E8" w:rsidP="00C137F1">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In this study, we subject the </w:t>
      </w:r>
      <w:r w:rsidR="00B17BDC" w:rsidRPr="003355B8">
        <w:rPr>
          <w:rFonts w:ascii="Times New Roman" w:hAnsi="Times New Roman" w:cs="Times New Roman"/>
          <w:color w:val="auto"/>
          <w:sz w:val="20"/>
          <w:szCs w:val="24"/>
          <w:lang w:val="en-GB" w:eastAsia="de-DE"/>
        </w:rPr>
        <w:t>modelled</w:t>
      </w:r>
      <w:r w:rsidRPr="003355B8">
        <w:rPr>
          <w:rFonts w:ascii="Times New Roman" w:hAnsi="Times New Roman" w:cs="Times New Roman"/>
          <w:color w:val="auto"/>
          <w:sz w:val="20"/>
          <w:szCs w:val="24"/>
          <w:lang w:val="en-GB" w:eastAsia="de-DE"/>
        </w:rPr>
        <w:t xml:space="preserve"> system to uncertainty in one natural factor and one social factor, namely, the natural replenishment rate of the resource</w:t>
      </w:r>
      <m:oMath>
        <m:r>
          <m:rPr>
            <m:sty m:val="p"/>
          </m:rPr>
          <w:rPr>
            <w:rFonts w:ascii="Cambria Math" w:hAnsi="Cambria Math" w:cs="Times New Roman"/>
            <w:color w:val="auto"/>
            <w:sz w:val="20"/>
            <w:szCs w:val="24"/>
            <w:lang w:val="en-GB" w:eastAsia="de-DE"/>
          </w:rPr>
          <m:t xml:space="preserve"> </m:t>
        </m:r>
        <m:r>
          <w:rPr>
            <w:rFonts w:ascii="Cambria Math" w:hAnsi="Cambria Math" w:cs="Times New Roman"/>
            <w:color w:val="auto"/>
            <w:sz w:val="20"/>
            <w:szCs w:val="24"/>
            <w:lang w:val="en-GB" w:eastAsia="de-DE"/>
          </w:rPr>
          <m:t>g</m:t>
        </m:r>
      </m:oMath>
      <w:r w:rsidRPr="003355B8">
        <w:rPr>
          <w:rFonts w:ascii="Times New Roman" w:hAnsi="Times New Roman" w:cs="Times New Roman"/>
          <w:color w:val="auto"/>
          <w:sz w:val="20"/>
          <w:szCs w:val="24"/>
          <w:lang w:val="en-GB" w:eastAsia="de-DE"/>
        </w:rPr>
        <w:t xml:space="preserve">, and the payoff that a RU earns from working outside the system </w:t>
      </w:r>
      <m:oMath>
        <m:r>
          <w:rPr>
            <w:rFonts w:ascii="Cambria Math" w:hAnsi="Cambria Math" w:cs="Times New Roman"/>
            <w:color w:val="auto"/>
            <w:sz w:val="20"/>
            <w:szCs w:val="24"/>
            <w:lang w:val="en-GB" w:eastAsia="de-DE"/>
          </w:rPr>
          <m:t>w</m:t>
        </m:r>
      </m:oMath>
      <w:r w:rsidRPr="003355B8">
        <w:rPr>
          <w:rFonts w:ascii="Times New Roman" w:hAnsi="Times New Roman" w:cs="Times New Roman"/>
          <w:color w:val="auto"/>
          <w:sz w:val="20"/>
          <w:szCs w:val="24"/>
          <w:lang w:val="en-GB" w:eastAsia="de-DE"/>
        </w:rPr>
        <w:t xml:space="preserve">. </w:t>
      </w:r>
      <w:r w:rsidR="00DD73DC" w:rsidRPr="003355B8">
        <w:rPr>
          <w:rFonts w:ascii="Times New Roman" w:hAnsi="Times New Roman" w:cs="Times New Roman"/>
          <w:color w:val="auto"/>
          <w:sz w:val="20"/>
          <w:szCs w:val="24"/>
          <w:lang w:val="en-GB" w:eastAsia="de-DE"/>
        </w:rPr>
        <w:t xml:space="preserve">Thus, we are computing how the resilience of the system to shocks/variation in state variables changes as the parameters </w:t>
      </w:r>
      <m:oMath>
        <m:r>
          <w:rPr>
            <w:rFonts w:ascii="Cambria Math" w:hAnsi="Cambria Math" w:cs="Times New Roman"/>
            <w:color w:val="auto"/>
            <w:sz w:val="20"/>
            <w:szCs w:val="24"/>
            <w:lang w:val="en-GB" w:eastAsia="de-DE"/>
          </w:rPr>
          <m:t>g</m:t>
        </m:r>
      </m:oMath>
      <w:r w:rsidR="00CA7548" w:rsidRPr="003355B8">
        <w:rPr>
          <w:rFonts w:ascii="Times New Roman" w:hAnsi="Times New Roman" w:cs="Times New Roman"/>
          <w:color w:val="auto"/>
          <w:sz w:val="20"/>
          <w:szCs w:val="24"/>
          <w:lang w:val="en-GB" w:eastAsia="de-DE"/>
        </w:rPr>
        <w:t xml:space="preserve"> </w:t>
      </w:r>
      <w:r w:rsidR="00DD73DC" w:rsidRPr="003355B8">
        <w:rPr>
          <w:rFonts w:ascii="Times New Roman" w:hAnsi="Times New Roman" w:cs="Times New Roman"/>
          <w:color w:val="auto"/>
          <w:sz w:val="20"/>
          <w:szCs w:val="24"/>
          <w:lang w:val="en-GB" w:eastAsia="de-DE"/>
        </w:rPr>
        <w:t xml:space="preserve">and </w:t>
      </w:r>
      <m:oMath>
        <m:r>
          <w:rPr>
            <w:rFonts w:ascii="Cambria Math" w:hAnsi="Cambria Math" w:cs="Times New Roman"/>
            <w:color w:val="auto"/>
            <w:sz w:val="20"/>
            <w:szCs w:val="24"/>
            <w:lang w:val="en-GB" w:eastAsia="de-DE"/>
          </w:rPr>
          <m:t>w</m:t>
        </m:r>
      </m:oMath>
      <w:r w:rsidR="00DD73DC" w:rsidRPr="003355B8">
        <w:rPr>
          <w:rFonts w:ascii="Times New Roman" w:hAnsi="Times New Roman" w:cs="Times New Roman"/>
          <w:color w:val="auto"/>
          <w:sz w:val="20"/>
          <w:szCs w:val="24"/>
          <w:lang w:val="en-GB" w:eastAsia="de-DE"/>
        </w:rPr>
        <w:t xml:space="preserve"> change (i.e.</w:t>
      </w:r>
      <w:r w:rsidR="00CA7548" w:rsidRPr="003355B8">
        <w:rPr>
          <w:rFonts w:ascii="Times New Roman" w:hAnsi="Times New Roman" w:cs="Times New Roman"/>
          <w:color w:val="auto"/>
          <w:sz w:val="20"/>
          <w:szCs w:val="24"/>
          <w:lang w:val="en-GB" w:eastAsia="de-DE"/>
        </w:rPr>
        <w:t>,</w:t>
      </w:r>
      <w:r w:rsidR="00DD73DC" w:rsidRPr="003355B8">
        <w:rPr>
          <w:rFonts w:ascii="Times New Roman" w:hAnsi="Times New Roman" w:cs="Times New Roman"/>
          <w:color w:val="auto"/>
          <w:sz w:val="20"/>
          <w:szCs w:val="24"/>
          <w:lang w:val="en-GB" w:eastAsia="de-DE"/>
        </w:rPr>
        <w:t xml:space="preserve"> we are uncertain about the underlying </w:t>
      </w:r>
      <w:r w:rsidR="00BE3045" w:rsidRPr="003355B8">
        <w:rPr>
          <w:rFonts w:ascii="Times New Roman" w:hAnsi="Times New Roman" w:cs="Times New Roman"/>
          <w:color w:val="auto"/>
          <w:sz w:val="20"/>
          <w:szCs w:val="24"/>
          <w:lang w:val="en-GB" w:eastAsia="de-DE"/>
        </w:rPr>
        <w:t>social-ecological setting</w:t>
      </w:r>
      <w:r w:rsidR="00DD73DC" w:rsidRPr="003355B8">
        <w:rPr>
          <w:rFonts w:ascii="Times New Roman" w:hAnsi="Times New Roman" w:cs="Times New Roman"/>
          <w:color w:val="auto"/>
          <w:sz w:val="20"/>
          <w:szCs w:val="24"/>
          <w:lang w:val="en-GB" w:eastAsia="de-DE"/>
        </w:rPr>
        <w:t xml:space="preserve"> of the system</w:t>
      </w:r>
      <w:r w:rsidR="00760897" w:rsidRPr="003355B8">
        <w:rPr>
          <w:rFonts w:ascii="Times New Roman" w:hAnsi="Times New Roman" w:cs="Times New Roman"/>
          <w:color w:val="auto"/>
          <w:sz w:val="20"/>
          <w:szCs w:val="24"/>
          <w:lang w:val="en-GB" w:eastAsia="de-DE"/>
        </w:rPr>
        <w:t>)</w:t>
      </w:r>
      <w:r w:rsidR="00DD73DC" w:rsidRPr="003355B8">
        <w:rPr>
          <w:rFonts w:ascii="Times New Roman" w:hAnsi="Times New Roman" w:cs="Times New Roman"/>
          <w:color w:val="auto"/>
          <w:sz w:val="20"/>
          <w:szCs w:val="24"/>
          <w:lang w:val="en-GB" w:eastAsia="de-DE"/>
        </w:rPr>
        <w:t xml:space="preserve">. </w:t>
      </w:r>
      <w:proofErr w:type="gramStart"/>
      <w:r w:rsidRPr="003355B8">
        <w:rPr>
          <w:rFonts w:ascii="Times New Roman" w:hAnsi="Times New Roman" w:cs="Times New Roman"/>
          <w:color w:val="auto"/>
          <w:sz w:val="20"/>
          <w:szCs w:val="24"/>
          <w:lang w:val="en-GB" w:eastAsia="de-DE"/>
        </w:rPr>
        <w:t>In particular, we</w:t>
      </w:r>
      <w:proofErr w:type="gramEnd"/>
      <w:r w:rsidRPr="003355B8">
        <w:rPr>
          <w:rFonts w:ascii="Times New Roman" w:hAnsi="Times New Roman" w:cs="Times New Roman"/>
          <w:color w:val="auto"/>
          <w:sz w:val="20"/>
          <w:szCs w:val="24"/>
          <w:lang w:val="en-GB" w:eastAsia="de-DE"/>
        </w:rPr>
        <w:t xml:space="preserve"> assume that </w:t>
      </w:r>
      <m:oMath>
        <m:r>
          <w:rPr>
            <w:rFonts w:ascii="Cambria Math" w:hAnsi="Cambria Math" w:cs="Times New Roman"/>
            <w:color w:val="auto"/>
            <w:sz w:val="20"/>
            <w:szCs w:val="24"/>
            <w:lang w:val="en-GB" w:eastAsia="de-DE"/>
          </w:rPr>
          <m:t>g</m:t>
        </m:r>
      </m:oMath>
      <w:r w:rsidRPr="003355B8">
        <w:rPr>
          <w:rFonts w:ascii="Times New Roman" w:hAnsi="Times New Roman" w:cs="Times New Roman"/>
          <w:color w:val="auto"/>
          <w:sz w:val="20"/>
          <w:szCs w:val="24"/>
          <w:lang w:val="en-GB" w:eastAsia="de-DE"/>
        </w:rPr>
        <w:t xml:space="preserve"> is uniformly distributed over the range [75, 125] and </w:t>
      </w:r>
      <m:oMath>
        <m:r>
          <w:rPr>
            <w:rFonts w:ascii="Cambria Math" w:hAnsi="Cambria Math" w:cs="Times New Roman"/>
            <w:color w:val="auto"/>
            <w:sz w:val="20"/>
            <w:szCs w:val="24"/>
            <w:lang w:val="en-GB" w:eastAsia="de-DE"/>
          </w:rPr>
          <m:t>w</m:t>
        </m:r>
      </m:oMath>
      <w:r w:rsidRPr="003355B8">
        <w:rPr>
          <w:rFonts w:ascii="Times New Roman" w:hAnsi="Times New Roman" w:cs="Times New Roman"/>
          <w:color w:val="auto"/>
          <w:sz w:val="20"/>
          <w:szCs w:val="24"/>
          <w:lang w:val="en-GB" w:eastAsia="de-DE"/>
        </w:rPr>
        <w:t xml:space="preserve"> is uniformly distributed over the range [0.75, 1.75]. A </w:t>
      </w:r>
      <w:r w:rsidR="00BE3045" w:rsidRPr="003355B8">
        <w:rPr>
          <w:rFonts w:ascii="Times New Roman" w:hAnsi="Times New Roman" w:cs="Times New Roman"/>
          <w:color w:val="auto"/>
          <w:sz w:val="20"/>
          <w:szCs w:val="24"/>
          <w:lang w:val="en-GB" w:eastAsia="de-DE"/>
        </w:rPr>
        <w:t xml:space="preserve">social-ecological setting, or setting, </w:t>
      </w:r>
      <w:r w:rsidRPr="003355B8">
        <w:rPr>
          <w:rFonts w:ascii="Times New Roman" w:hAnsi="Times New Roman" w:cs="Times New Roman"/>
          <w:color w:val="auto"/>
          <w:sz w:val="20"/>
          <w:szCs w:val="24"/>
          <w:lang w:val="en-GB" w:eastAsia="de-DE"/>
        </w:rPr>
        <w:t xml:space="preserve">is defined as a combination of </w:t>
      </w:r>
      <m:oMath>
        <m:r>
          <w:rPr>
            <w:rFonts w:ascii="Cambria Math" w:hAnsi="Cambria Math" w:cs="Times New Roman"/>
            <w:color w:val="auto"/>
            <w:sz w:val="20"/>
            <w:szCs w:val="24"/>
            <w:lang w:val="en-GB" w:eastAsia="de-DE"/>
          </w:rPr>
          <m:t>g</m:t>
        </m:r>
      </m:oMath>
      <w:r w:rsidRPr="003355B8">
        <w:rPr>
          <w:rFonts w:ascii="Times New Roman" w:hAnsi="Times New Roman" w:cs="Times New Roman"/>
          <w:color w:val="auto"/>
          <w:sz w:val="20"/>
          <w:szCs w:val="24"/>
          <w:lang w:val="en-GB" w:eastAsia="de-DE"/>
        </w:rPr>
        <w:t xml:space="preserve"> and </w:t>
      </w:r>
      <m:oMath>
        <m:r>
          <w:rPr>
            <w:rFonts w:ascii="Cambria Math" w:hAnsi="Cambria Math" w:cs="Times New Roman"/>
            <w:color w:val="auto"/>
            <w:sz w:val="20"/>
            <w:szCs w:val="24"/>
            <w:lang w:val="en-GB" w:eastAsia="de-DE"/>
          </w:rPr>
          <m:t>w</m:t>
        </m:r>
      </m:oMath>
      <w:r w:rsidRPr="003355B8">
        <w:rPr>
          <w:rFonts w:ascii="Times New Roman" w:hAnsi="Times New Roman" w:cs="Times New Roman"/>
          <w:color w:val="auto"/>
          <w:sz w:val="20"/>
          <w:szCs w:val="24"/>
          <w:lang w:val="en-GB" w:eastAsia="de-DE"/>
        </w:rPr>
        <w:t xml:space="preserve">. For a given policy (a </w:t>
      </w:r>
      <m:oMath>
        <m:r>
          <w:rPr>
            <w:rFonts w:ascii="Cambria Math" w:hAnsi="Cambria Math" w:cs="Times New Roman"/>
            <w:color w:val="auto"/>
            <w:sz w:val="20"/>
            <w:szCs w:val="24"/>
            <w:lang w:val="en-GB" w:eastAsia="de-DE"/>
          </w:rPr>
          <m:t>C</m:t>
        </m:r>
        <m:r>
          <m:rPr>
            <m:sty m:val="p"/>
          </m:rPr>
          <w:rPr>
            <w:rFonts w:ascii="Cambria Math" w:hAnsi="Cambria Math" w:cs="Times New Roman"/>
            <w:color w:val="auto"/>
            <w:sz w:val="20"/>
            <w:szCs w:val="24"/>
            <w:lang w:val="en-GB" w:eastAsia="de-DE"/>
          </w:rPr>
          <m:t>-</m:t>
        </m:r>
        <m:r>
          <w:rPr>
            <w:rFonts w:ascii="Cambria Math" w:hAnsi="Cambria Math" w:cs="Times New Roman"/>
            <w:color w:val="auto"/>
            <w:sz w:val="20"/>
            <w:szCs w:val="24"/>
            <w:lang w:val="en-GB" w:eastAsia="de-DE"/>
          </w:rPr>
          <m:t>y</m:t>
        </m:r>
      </m:oMath>
      <w:r w:rsidRPr="003355B8">
        <w:rPr>
          <w:rFonts w:ascii="Times New Roman" w:hAnsi="Times New Roman" w:cs="Times New Roman"/>
          <w:color w:val="auto"/>
          <w:sz w:val="20"/>
          <w:szCs w:val="24"/>
          <w:lang w:val="en-GB" w:eastAsia="de-DE"/>
        </w:rPr>
        <w:t xml:space="preserve"> combination), we calculate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oMath>
      <w:r w:rsidRPr="003355B8">
        <w:rPr>
          <w:rFonts w:ascii="Times New Roman" w:hAnsi="Times New Roman" w:cs="Times New Roman"/>
          <w:color w:val="auto"/>
          <w:sz w:val="20"/>
          <w:szCs w:val="24"/>
          <w:lang w:val="en-GB" w:eastAsia="de-DE"/>
        </w:rPr>
        <w:t xml:space="preserve"> for 10,000 </w:t>
      </w:r>
      <w:r w:rsidR="00BE3045" w:rsidRPr="003355B8">
        <w:rPr>
          <w:rFonts w:ascii="Times New Roman" w:hAnsi="Times New Roman" w:cs="Times New Roman"/>
          <w:color w:val="auto"/>
          <w:sz w:val="20"/>
          <w:szCs w:val="24"/>
          <w:lang w:val="en-GB" w:eastAsia="de-DE"/>
        </w:rPr>
        <w:t xml:space="preserve">settings </w:t>
      </w:r>
      <w:r w:rsidRPr="003355B8">
        <w:rPr>
          <w:rFonts w:ascii="Times New Roman" w:hAnsi="Times New Roman" w:cs="Times New Roman"/>
          <w:color w:val="auto"/>
          <w:sz w:val="20"/>
          <w:szCs w:val="24"/>
          <w:lang w:val="en-GB" w:eastAsia="de-DE"/>
        </w:rPr>
        <w:t xml:space="preserve">(i.e., 10,000 </w:t>
      </w:r>
      <m:oMath>
        <m:r>
          <w:rPr>
            <w:rFonts w:ascii="Cambria Math" w:hAnsi="Cambria Math" w:cs="Times New Roman"/>
            <w:color w:val="auto"/>
            <w:sz w:val="20"/>
            <w:szCs w:val="24"/>
            <w:lang w:val="en-GB" w:eastAsia="de-DE"/>
          </w:rPr>
          <m:t>g</m:t>
        </m:r>
        <m:r>
          <m:rPr>
            <m:sty m:val="p"/>
          </m:rPr>
          <w:rPr>
            <w:rFonts w:ascii="Cambria Math" w:hAnsi="Cambria Math" w:cs="Times New Roman"/>
            <w:color w:val="auto"/>
            <w:sz w:val="20"/>
            <w:szCs w:val="24"/>
            <w:lang w:val="en-GB" w:eastAsia="de-DE"/>
          </w:rPr>
          <m:t>-</m:t>
        </m:r>
        <m:r>
          <w:rPr>
            <w:rFonts w:ascii="Cambria Math" w:hAnsi="Cambria Math" w:cs="Times New Roman"/>
            <w:color w:val="auto"/>
            <w:sz w:val="20"/>
            <w:szCs w:val="24"/>
            <w:lang w:val="en-GB" w:eastAsia="de-DE"/>
          </w:rPr>
          <m:t>w</m:t>
        </m:r>
      </m:oMath>
      <w:r w:rsidRPr="003355B8">
        <w:rPr>
          <w:rFonts w:ascii="Times New Roman" w:hAnsi="Times New Roman" w:cs="Times New Roman"/>
          <w:color w:val="auto"/>
          <w:sz w:val="20"/>
          <w:szCs w:val="24"/>
          <w:lang w:val="en-GB" w:eastAsia="de-DE"/>
        </w:rPr>
        <w:t xml:space="preserve"> combinations) (see Fig. 2). Then, from these 10,000 values of the resilience metric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oMath>
      <w:r w:rsidRPr="003355B8">
        <w:rPr>
          <w:rFonts w:ascii="Times New Roman" w:hAnsi="Times New Roman" w:cs="Times New Roman"/>
          <w:color w:val="auto"/>
          <w:sz w:val="20"/>
          <w:szCs w:val="24"/>
          <w:lang w:val="en-GB" w:eastAsia="de-DE"/>
        </w:rPr>
        <w:t xml:space="preserve">, we calculate the mean,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m:t>
            </m:r>
            <m:r>
              <m:rPr>
                <m:sty m:val="p"/>
              </m:rPr>
              <w:rPr>
                <w:rFonts w:ascii="Cambria Math" w:hAnsi="Cambria Math" w:cs="Times New Roman"/>
                <w:color w:val="auto"/>
                <w:sz w:val="20"/>
                <w:szCs w:val="24"/>
                <w:lang w:val="en-GB" w:eastAsia="de-DE"/>
              </w:rPr>
              <m:t>-</m:t>
            </m:r>
            <m:r>
              <w:rPr>
                <w:rFonts w:ascii="Cambria Math" w:hAnsi="Cambria Math" w:cs="Times New Roman"/>
                <w:color w:val="auto"/>
                <w:sz w:val="20"/>
                <w:szCs w:val="24"/>
                <w:lang w:val="en-GB" w:eastAsia="de-DE"/>
              </w:rPr>
              <m:t>system</m:t>
            </m:r>
          </m:sub>
        </m:sSub>
        <m:r>
          <w:rPr>
            <w:rFonts w:ascii="Cambria Math" w:hAnsi="Cambria Math" w:cs="Times New Roman"/>
            <w:color w:val="auto"/>
            <w:sz w:val="20"/>
            <w:szCs w:val="24"/>
            <w:lang w:val="en-GB" w:eastAsia="de-DE"/>
          </w:rPr>
          <m:t>=E</m:t>
        </m:r>
        <m:d>
          <m:dPr>
            <m:begChr m:val="["/>
            <m:endChr m:val="]"/>
            <m:ctrlPr>
              <w:rPr>
                <w:rFonts w:ascii="Cambria Math" w:hAnsi="Cambria Math" w:cs="Times New Roman"/>
                <w:i/>
                <w:color w:val="auto"/>
                <w:sz w:val="20"/>
                <w:szCs w:val="24"/>
                <w:lang w:val="en-GB" w:eastAsia="de-DE"/>
              </w:rPr>
            </m:ctrlPr>
          </m:dPr>
          <m:e>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e>
        </m:d>
      </m:oMath>
      <w:r w:rsidR="00F47BE6" w:rsidRPr="003355B8">
        <w:rPr>
          <w:rFonts w:ascii="Times New Roman" w:hAnsi="Times New Roman" w:cs="Times New Roman"/>
          <w:color w:val="auto"/>
          <w:sz w:val="20"/>
          <w:szCs w:val="24"/>
          <w:lang w:val="en-GB" w:eastAsia="de-DE"/>
        </w:rPr>
        <w:t xml:space="preserve">, and use it </w:t>
      </w:r>
      <w:r w:rsidRPr="003355B8">
        <w:rPr>
          <w:rFonts w:ascii="Times New Roman" w:hAnsi="Times New Roman" w:cs="Times New Roman"/>
          <w:color w:val="auto"/>
          <w:sz w:val="20"/>
          <w:szCs w:val="24"/>
          <w:lang w:val="en-GB" w:eastAsia="de-DE"/>
        </w:rPr>
        <w:t xml:space="preserve">as the </w:t>
      </w:r>
      <w:r w:rsidRPr="003355B8">
        <w:rPr>
          <w:rFonts w:ascii="Times New Roman" w:hAnsi="Times New Roman" w:cs="Times New Roman"/>
          <w:b/>
          <w:color w:val="auto"/>
          <w:sz w:val="20"/>
          <w:szCs w:val="24"/>
          <w:lang w:val="en-GB" w:eastAsia="de-DE"/>
        </w:rPr>
        <w:t>resilience metric</w:t>
      </w:r>
      <w:r w:rsidRPr="003355B8">
        <w:rPr>
          <w:rFonts w:ascii="Times New Roman" w:hAnsi="Times New Roman" w:cs="Times New Roman"/>
          <w:color w:val="auto"/>
          <w:sz w:val="20"/>
          <w:szCs w:val="24"/>
          <w:lang w:val="en-GB" w:eastAsia="de-DE"/>
        </w:rPr>
        <w:t xml:space="preserve"> of the coupled system with a given policy, and the </w:t>
      </w:r>
      <w:r w:rsidR="00F47BE6" w:rsidRPr="003355B8">
        <w:rPr>
          <w:rFonts w:ascii="Times New Roman" w:hAnsi="Times New Roman" w:cs="Times New Roman"/>
          <w:color w:val="auto"/>
          <w:sz w:val="20"/>
          <w:szCs w:val="24"/>
          <w:lang w:val="en-GB" w:eastAsia="de-DE"/>
        </w:rPr>
        <w:t xml:space="preserve">below-mean mean,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r>
          <w:rPr>
            <w:rFonts w:ascii="Cambria Math" w:hAnsi="Cambria Math" w:cs="Times New Roman"/>
            <w:color w:val="auto"/>
            <w:sz w:val="20"/>
            <w:szCs w:val="24"/>
            <w:lang w:val="en-GB" w:eastAsia="de-DE"/>
          </w:rPr>
          <m:t>=E</m:t>
        </m:r>
        <m:d>
          <m:dPr>
            <m:begChr m:val="["/>
            <m:endChr m:val="]"/>
            <m:ctrlPr>
              <w:rPr>
                <w:rFonts w:ascii="Cambria Math" w:hAnsi="Cambria Math" w:cs="Times New Roman"/>
                <w:i/>
                <w:color w:val="auto"/>
                <w:sz w:val="20"/>
                <w:szCs w:val="24"/>
                <w:lang w:val="en-GB" w:eastAsia="de-DE"/>
              </w:rPr>
            </m:ctrlPr>
          </m:dPr>
          <m:e>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r>
              <w:rPr>
                <w:rFonts w:ascii="Cambria Math" w:hAnsi="Cambria Math" w:cs="Times New Roman"/>
                <w:color w:val="auto"/>
                <w:sz w:val="20"/>
                <w:szCs w:val="24"/>
                <w:lang w:val="en-GB" w:eastAsia="de-DE"/>
              </w:rPr>
              <m:t>|</m:t>
            </m:r>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r>
              <w:rPr>
                <w:rFonts w:ascii="Cambria Math" w:hAnsi="Cambria Math" w:cs="Times New Roman"/>
                <w:color w:val="auto"/>
                <w:sz w:val="20"/>
                <w:szCs w:val="24"/>
                <w:lang w:val="en-GB" w:eastAsia="de-DE"/>
              </w:rPr>
              <m:t>&lt;</m:t>
            </m:r>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m:t>
                </m:r>
                <m:r>
                  <m:rPr>
                    <m:sty m:val="p"/>
                  </m:rPr>
                  <w:rPr>
                    <w:rFonts w:ascii="Cambria Math" w:hAnsi="Cambria Math" w:cs="Times New Roman"/>
                    <w:color w:val="auto"/>
                    <w:sz w:val="20"/>
                    <w:szCs w:val="24"/>
                    <w:lang w:val="en-GB" w:eastAsia="de-DE"/>
                  </w:rPr>
                  <m:t>-</m:t>
                </m:r>
                <m:r>
                  <w:rPr>
                    <w:rFonts w:ascii="Cambria Math" w:hAnsi="Cambria Math" w:cs="Times New Roman"/>
                    <w:color w:val="auto"/>
                    <w:sz w:val="20"/>
                    <w:szCs w:val="24"/>
                    <w:lang w:val="en-GB" w:eastAsia="de-DE"/>
                  </w:rPr>
                  <m:t>system</m:t>
                </m:r>
              </m:sub>
            </m:sSub>
          </m:e>
        </m:d>
      </m:oMath>
      <w:r w:rsidR="00F47BE6" w:rsidRPr="003355B8">
        <w:rPr>
          <w:rFonts w:ascii="Times New Roman" w:hAnsi="Times New Roman" w:cs="Times New Roman"/>
          <w:color w:val="auto"/>
          <w:sz w:val="20"/>
          <w:szCs w:val="24"/>
          <w:lang w:val="en-GB" w:eastAsia="de-DE"/>
        </w:rPr>
        <w:t xml:space="preserve">, </w:t>
      </w:r>
      <w:r w:rsidRPr="003355B8">
        <w:rPr>
          <w:rFonts w:ascii="Times New Roman" w:hAnsi="Times New Roman" w:cs="Times New Roman"/>
          <w:color w:val="auto"/>
          <w:sz w:val="20"/>
          <w:szCs w:val="24"/>
          <w:lang w:val="en-GB" w:eastAsia="de-DE"/>
        </w:rPr>
        <w:t xml:space="preserve">as the </w:t>
      </w:r>
      <w:r w:rsidRPr="003355B8">
        <w:rPr>
          <w:rFonts w:ascii="Times New Roman" w:hAnsi="Times New Roman" w:cs="Times New Roman"/>
          <w:b/>
          <w:color w:val="auto"/>
          <w:sz w:val="20"/>
          <w:szCs w:val="24"/>
          <w:lang w:val="en-GB" w:eastAsia="de-DE"/>
        </w:rPr>
        <w:t>metric for robustness of resilience</w:t>
      </w:r>
      <w:r w:rsidR="00F47BE6" w:rsidRPr="003355B8">
        <w:rPr>
          <w:rFonts w:ascii="Times New Roman" w:hAnsi="Times New Roman" w:cs="Times New Roman"/>
          <w:b/>
          <w:color w:val="auto"/>
          <w:sz w:val="20"/>
          <w:szCs w:val="24"/>
          <w:lang w:val="en-GB" w:eastAsia="de-DE"/>
        </w:rPr>
        <w:t>.</w:t>
      </w:r>
      <w:r w:rsidR="00DD73DC" w:rsidRPr="003355B8">
        <w:rPr>
          <w:rFonts w:ascii="Times New Roman" w:hAnsi="Times New Roman" w:cs="Times New Roman"/>
          <w:b/>
          <w:color w:val="auto"/>
          <w:sz w:val="20"/>
          <w:szCs w:val="24"/>
          <w:lang w:val="en-GB" w:eastAsia="de-DE"/>
        </w:rPr>
        <w:t xml:space="preserve"> </w:t>
      </w:r>
      <w:r w:rsidR="00DD73DC" w:rsidRPr="003355B8">
        <w:rPr>
          <w:rFonts w:ascii="Times New Roman" w:hAnsi="Times New Roman" w:cs="Times New Roman"/>
          <w:color w:val="auto"/>
          <w:sz w:val="20"/>
          <w:szCs w:val="24"/>
          <w:lang w:val="en-GB" w:eastAsia="de-DE"/>
        </w:rPr>
        <w:t xml:space="preserve">This metric measures the robustness of the capacity of the system to cope with variation in state variables </w:t>
      </w:r>
      <m:oMath>
        <m:sSub>
          <m:sSubPr>
            <m:ctrlPr>
              <w:rPr>
                <w:rFonts w:ascii="Cambria Math" w:hAnsi="Cambria Math" w:cs="Times New Roman"/>
                <w:i/>
                <w:color w:val="auto"/>
                <w:sz w:val="20"/>
                <w:szCs w:val="24"/>
                <w:lang w:val="en-GB" w:eastAsia="de-DE"/>
              </w:rPr>
            </m:ctrlPr>
          </m:sSubPr>
          <m:e>
            <m:r>
              <w:rPr>
                <w:rFonts w:ascii="Cambria Math" w:hAnsi="Cambria Math" w:cs="Times New Roman"/>
                <w:color w:val="auto"/>
                <w:sz w:val="20"/>
                <w:szCs w:val="24"/>
                <w:lang w:val="en-GB" w:eastAsia="de-DE"/>
              </w:rPr>
              <m:t>I</m:t>
            </m:r>
          </m:e>
          <m:sub>
            <m:r>
              <w:rPr>
                <w:rFonts w:ascii="Cambria Math" w:hAnsi="Cambria Math" w:cs="Times New Roman"/>
                <w:color w:val="auto"/>
                <w:sz w:val="20"/>
                <w:szCs w:val="24"/>
                <w:lang w:val="en-GB" w:eastAsia="de-DE"/>
              </w:rPr>
              <m:t>HM</m:t>
            </m:r>
          </m:sub>
        </m:sSub>
        <m:r>
          <w:rPr>
            <w:rFonts w:ascii="Cambria Math" w:hAnsi="Cambria Math" w:cs="Times New Roman"/>
            <w:color w:val="auto"/>
            <w:sz w:val="20"/>
            <w:szCs w:val="24"/>
            <w:lang w:val="en-GB" w:eastAsia="de-DE"/>
          </w:rPr>
          <m:t>, R,</m:t>
        </m:r>
      </m:oMath>
      <w:r w:rsidR="00DD73DC" w:rsidRPr="003355B8">
        <w:rPr>
          <w:rFonts w:ascii="Times New Roman" w:hAnsi="Times New Roman" w:cs="Times New Roman"/>
          <w:color w:val="auto"/>
          <w:sz w:val="20"/>
          <w:szCs w:val="24"/>
          <w:lang w:val="en-GB" w:eastAsia="de-DE"/>
        </w:rPr>
        <w:t xml:space="preserve"> and </w:t>
      </w:r>
      <m:oMath>
        <m:r>
          <w:rPr>
            <w:rFonts w:ascii="Cambria Math" w:hAnsi="Cambria Math" w:cs="Times New Roman"/>
            <w:color w:val="auto"/>
            <w:sz w:val="20"/>
            <w:szCs w:val="24"/>
            <w:lang w:val="en-GB" w:eastAsia="de-DE"/>
          </w:rPr>
          <m:t>U</m:t>
        </m:r>
      </m:oMath>
      <w:r w:rsidR="00DD73DC" w:rsidRPr="003355B8">
        <w:rPr>
          <w:rFonts w:ascii="Times New Roman" w:hAnsi="Times New Roman" w:cs="Times New Roman"/>
          <w:color w:val="auto"/>
          <w:sz w:val="20"/>
          <w:szCs w:val="24"/>
          <w:lang w:val="en-GB" w:eastAsia="de-DE"/>
        </w:rPr>
        <w:t xml:space="preserve"> to fundamental uncertainty about the underlying </w:t>
      </w:r>
      <w:r w:rsidR="00BE3045" w:rsidRPr="003355B8">
        <w:rPr>
          <w:rFonts w:ascii="Times New Roman" w:hAnsi="Times New Roman" w:cs="Times New Roman"/>
          <w:color w:val="auto"/>
          <w:sz w:val="20"/>
          <w:szCs w:val="24"/>
          <w:lang w:val="en-GB" w:eastAsia="de-DE"/>
        </w:rPr>
        <w:t>setting</w:t>
      </w:r>
      <w:r w:rsidR="00DD73DC" w:rsidRPr="003355B8">
        <w:rPr>
          <w:rFonts w:ascii="Times New Roman" w:hAnsi="Times New Roman" w:cs="Times New Roman"/>
          <w:color w:val="auto"/>
          <w:sz w:val="20"/>
          <w:szCs w:val="24"/>
          <w:lang w:val="en-GB" w:eastAsia="de-DE"/>
        </w:rPr>
        <w:t xml:space="preserve"> of the system</w:t>
      </w:r>
      <w:r w:rsidR="00BE3045" w:rsidRPr="003355B8">
        <w:rPr>
          <w:rFonts w:ascii="Times New Roman" w:hAnsi="Times New Roman" w:cs="Times New Roman"/>
          <w:color w:val="auto"/>
          <w:sz w:val="20"/>
          <w:szCs w:val="24"/>
          <w:lang w:val="en-GB" w:eastAsia="de-DE"/>
        </w:rPr>
        <w:t>.</w:t>
      </w:r>
      <w:r w:rsidR="00DD73DC" w:rsidRPr="003355B8">
        <w:rPr>
          <w:rFonts w:ascii="Times New Roman" w:hAnsi="Times New Roman" w:cs="Times New Roman"/>
          <w:color w:val="auto"/>
          <w:sz w:val="20"/>
          <w:szCs w:val="24"/>
          <w:lang w:val="en-GB" w:eastAsia="de-DE"/>
        </w:rPr>
        <w:t xml:space="preserve">  </w:t>
      </w:r>
    </w:p>
    <w:p w14:paraId="3DBDED53" w14:textId="5E0AD1BA" w:rsidR="00A10D81" w:rsidRPr="003355B8" w:rsidRDefault="004A25E8" w:rsidP="00292C36">
      <w:pPr>
        <w:spacing w:after="120" w:line="240" w:lineRule="auto"/>
        <w:ind w:left="360" w:right="360"/>
        <w:jc w:val="both"/>
        <w:rPr>
          <w:rFonts w:ascii="Arial" w:hAnsi="Arial" w:cs="Times New Roman"/>
          <w:color w:val="auto"/>
          <w:sz w:val="18"/>
          <w:szCs w:val="18"/>
        </w:rPr>
      </w:pPr>
      <w:bookmarkStart w:id="8" w:name="_79pc1cxj4eh2" w:colFirst="0" w:colLast="0"/>
      <w:bookmarkEnd w:id="8"/>
      <w:r w:rsidRPr="003355B8">
        <w:rPr>
          <w:rFonts w:ascii="Times New Roman" w:hAnsi="Times New Roman" w:cs="Times New Roman"/>
          <w:bCs/>
          <w:color w:val="auto"/>
          <w:sz w:val="18"/>
          <w:szCs w:val="18"/>
        </w:rPr>
        <w:t>Fig</w:t>
      </w:r>
      <w:r w:rsidR="00842916" w:rsidRPr="003355B8">
        <w:rPr>
          <w:rFonts w:ascii="Times New Roman" w:hAnsi="Times New Roman" w:cs="Times New Roman"/>
          <w:bCs/>
          <w:color w:val="auto"/>
          <w:sz w:val="18"/>
          <w:szCs w:val="18"/>
        </w:rPr>
        <w:t xml:space="preserve">ure </w:t>
      </w:r>
      <w:r w:rsidRPr="003355B8">
        <w:rPr>
          <w:rFonts w:ascii="Times New Roman" w:hAnsi="Times New Roman" w:cs="Times New Roman"/>
          <w:bCs/>
          <w:color w:val="auto"/>
          <w:sz w:val="18"/>
          <w:szCs w:val="18"/>
        </w:rPr>
        <w:t>2</w:t>
      </w:r>
      <w:r w:rsidR="00842916" w:rsidRPr="003355B8">
        <w:rPr>
          <w:rFonts w:ascii="Times New Roman" w:hAnsi="Times New Roman" w:cs="Times New Roman"/>
          <w:bCs/>
          <w:color w:val="auto"/>
          <w:sz w:val="18"/>
          <w:szCs w:val="18"/>
        </w:rPr>
        <w:t>:</w:t>
      </w:r>
      <w:r w:rsidRPr="003355B8">
        <w:rPr>
          <w:rFonts w:ascii="Times New Roman" w:hAnsi="Times New Roman" w:cs="Times New Roman"/>
          <w:color w:val="auto"/>
          <w:sz w:val="18"/>
          <w:szCs w:val="18"/>
        </w:rPr>
        <w:t xml:space="preserve"> Variation of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of a CIS with a fixed policy </w:t>
      </w:r>
      <m:oMath>
        <m:r>
          <w:rPr>
            <w:rFonts w:ascii="Cambria Math" w:hAnsi="Cambria Math" w:cs="Times New Roman"/>
            <w:color w:val="auto"/>
            <w:sz w:val="18"/>
            <w:szCs w:val="18"/>
          </w:rPr>
          <m:t>(C,y)</m:t>
        </m:r>
      </m:oMath>
      <w:r w:rsidRPr="003355B8">
        <w:rPr>
          <w:rFonts w:ascii="Times New Roman" w:hAnsi="Times New Roman" w:cs="Times New Roman"/>
          <w:color w:val="auto"/>
          <w:sz w:val="18"/>
          <w:szCs w:val="18"/>
        </w:rPr>
        <w:t xml:space="preserve"> over 10,000 </w:t>
      </w:r>
      <w:r w:rsidR="00BE3045" w:rsidRPr="003355B8">
        <w:rPr>
          <w:rFonts w:ascii="Times New Roman" w:hAnsi="Times New Roman" w:cs="Times New Roman"/>
          <w:color w:val="auto"/>
          <w:sz w:val="18"/>
          <w:szCs w:val="18"/>
        </w:rPr>
        <w:t xml:space="preserve">settings </w:t>
      </w:r>
      <w:r w:rsidRPr="003355B8">
        <w:rPr>
          <w:rFonts w:ascii="Times New Roman" w:hAnsi="Times New Roman" w:cs="Times New Roman"/>
          <w:color w:val="auto"/>
          <w:sz w:val="18"/>
          <w:szCs w:val="18"/>
        </w:rPr>
        <w:t xml:space="preserve">associated with </w:t>
      </w:r>
      <w:r w:rsidR="00376756" w:rsidRPr="003355B8">
        <w:rPr>
          <w:rFonts w:ascii="Times New Roman" w:hAnsi="Times New Roman" w:cs="Times New Roman"/>
          <w:color w:val="auto"/>
          <w:sz w:val="18"/>
          <w:szCs w:val="18"/>
        </w:rPr>
        <w:t>uncertainty</w:t>
      </w:r>
      <w:r w:rsidRPr="003355B8">
        <w:rPr>
          <w:rFonts w:ascii="Times New Roman" w:hAnsi="Times New Roman" w:cs="Times New Roman"/>
          <w:color w:val="auto"/>
          <w:sz w:val="18"/>
          <w:szCs w:val="18"/>
        </w:rPr>
        <w:t xml:space="preserve"> characterized by </w:t>
      </w:r>
      <m:oMath>
        <m:d>
          <m:dPr>
            <m:begChr m:val="{"/>
            <m:endChr m:val="}"/>
            <m:ctrlPr>
              <w:rPr>
                <w:rFonts w:ascii="Cambria Math" w:hAnsi="Cambria Math" w:cs="Times New Roman"/>
                <w:i/>
                <w:color w:val="auto"/>
                <w:sz w:val="18"/>
                <w:szCs w:val="18"/>
              </w:rPr>
            </m:ctrlPr>
          </m:dPr>
          <m:e>
            <m:r>
              <w:rPr>
                <w:rFonts w:ascii="Cambria Math" w:hAnsi="Cambria Math" w:cs="Times New Roman"/>
                <w:color w:val="auto"/>
                <w:sz w:val="18"/>
                <w:szCs w:val="18"/>
              </w:rPr>
              <m:t>g∈</m:t>
            </m:r>
            <m:d>
              <m:dPr>
                <m:begChr m:val="["/>
                <m:endChr m:val="]"/>
                <m:ctrlPr>
                  <w:rPr>
                    <w:rFonts w:ascii="Cambria Math" w:hAnsi="Cambria Math" w:cs="Times New Roman"/>
                    <w:i/>
                    <w:color w:val="auto"/>
                    <w:sz w:val="18"/>
                    <w:szCs w:val="18"/>
                  </w:rPr>
                </m:ctrlPr>
              </m:dPr>
              <m:e>
                <m:r>
                  <w:rPr>
                    <w:rFonts w:ascii="Cambria Math" w:hAnsi="Cambria Math" w:cs="Times New Roman"/>
                    <w:color w:val="auto"/>
                    <w:sz w:val="18"/>
                    <w:szCs w:val="18"/>
                  </w:rPr>
                  <m:t>75,125</m:t>
                </m:r>
              </m:e>
            </m:d>
            <m:r>
              <w:rPr>
                <w:rFonts w:ascii="Cambria Math" w:hAnsi="Cambria Math" w:cs="Times New Roman"/>
                <w:color w:val="auto"/>
                <w:sz w:val="18"/>
                <w:szCs w:val="18"/>
              </w:rPr>
              <m:t>,w∈</m:t>
            </m:r>
            <m:d>
              <m:dPr>
                <m:begChr m:val="["/>
                <m:endChr m:val="]"/>
                <m:ctrlPr>
                  <w:rPr>
                    <w:rFonts w:ascii="Cambria Math" w:hAnsi="Cambria Math" w:cs="Times New Roman"/>
                    <w:i/>
                    <w:color w:val="auto"/>
                    <w:sz w:val="18"/>
                    <w:szCs w:val="18"/>
                  </w:rPr>
                </m:ctrlPr>
              </m:dPr>
              <m:e>
                <m:r>
                  <w:rPr>
                    <w:rFonts w:ascii="Cambria Math" w:hAnsi="Cambria Math" w:cs="Times New Roman"/>
                    <w:color w:val="auto"/>
                    <w:sz w:val="18"/>
                    <w:szCs w:val="18"/>
                  </w:rPr>
                  <m:t>0.75,1.25</m:t>
                </m:r>
              </m:e>
            </m:d>
          </m:e>
        </m:d>
      </m:oMath>
      <w:r w:rsidRPr="003355B8">
        <w:rPr>
          <w:rFonts w:ascii="Times New Roman" w:hAnsi="Times New Roman" w:cs="Times New Roman"/>
          <w:color w:val="auto"/>
          <w:sz w:val="18"/>
          <w:szCs w:val="18"/>
        </w:rPr>
        <w:t xml:space="preserve">: (a)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surface and (b)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contours.  The values of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are used to calculate the mean,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Rsystem</m:t>
            </m:r>
          </m:sub>
        </m:sSub>
      </m:oMath>
      <w:r w:rsidRPr="003355B8">
        <w:rPr>
          <w:rFonts w:ascii="Times New Roman" w:hAnsi="Times New Roman" w:cs="Times New Roman"/>
          <w:color w:val="auto"/>
          <w:sz w:val="18"/>
          <w:szCs w:val="18"/>
        </w:rPr>
        <w:t xml:space="preserve">, and the </w:t>
      </w:r>
      <w:r w:rsidR="00F47BE6" w:rsidRPr="003355B8">
        <w:rPr>
          <w:rFonts w:ascii="Times New Roman" w:hAnsi="Times New Roman" w:cs="Times New Roman"/>
          <w:color w:val="auto"/>
          <w:sz w:val="18"/>
          <w:szCs w:val="18"/>
        </w:rPr>
        <w:t>below-mean mean</w:t>
      </w:r>
      <w:r w:rsidRPr="003355B8">
        <w:rPr>
          <w:rFonts w:ascii="Times New Roman" w:hAnsi="Times New Roman" w:cs="Times New Roman"/>
          <w:color w:val="auto"/>
          <w:sz w:val="18"/>
          <w:szCs w:val="18"/>
        </w:rPr>
        <w:t xml:space="preserve">,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18"/>
          <w:szCs w:val="18"/>
        </w:rPr>
        <w:t xml:space="preserve">. In this particular case, the resilience does not change much when </w:t>
      </w:r>
      <m:oMath>
        <m:r>
          <w:rPr>
            <w:rFonts w:ascii="Cambria Math" w:hAnsi="Cambria Math" w:cs="Times New Roman"/>
            <w:color w:val="auto"/>
            <w:sz w:val="18"/>
            <w:szCs w:val="18"/>
          </w:rPr>
          <m:t>g</m:t>
        </m:r>
      </m:oMath>
      <w:r w:rsidRPr="003355B8">
        <w:rPr>
          <w:rFonts w:ascii="Times New Roman" w:hAnsi="Times New Roman" w:cs="Times New Roman"/>
          <w:color w:val="auto"/>
          <w:sz w:val="18"/>
          <w:szCs w:val="18"/>
        </w:rPr>
        <w:t xml:space="preserve"> is greater than about </w:t>
      </w:r>
      <w:proofErr w:type="gramStart"/>
      <w:r w:rsidRPr="003355B8">
        <w:rPr>
          <w:rFonts w:ascii="Times New Roman" w:hAnsi="Times New Roman" w:cs="Times New Roman"/>
          <w:color w:val="auto"/>
          <w:sz w:val="18"/>
          <w:szCs w:val="18"/>
        </w:rPr>
        <w:t>100, but</w:t>
      </w:r>
      <w:proofErr w:type="gramEnd"/>
      <w:r w:rsidRPr="003355B8">
        <w:rPr>
          <w:rFonts w:ascii="Times New Roman" w:hAnsi="Times New Roman" w:cs="Times New Roman"/>
          <w:color w:val="auto"/>
          <w:sz w:val="18"/>
          <w:szCs w:val="18"/>
        </w:rPr>
        <w:t xml:space="preserve"> becomes more sensitive to both </w:t>
      </w:r>
      <m:oMath>
        <m:r>
          <w:rPr>
            <w:rFonts w:ascii="Cambria Math" w:hAnsi="Cambria Math" w:cs="Times New Roman"/>
            <w:color w:val="auto"/>
            <w:sz w:val="18"/>
            <w:szCs w:val="18"/>
          </w:rPr>
          <m:t>g</m:t>
        </m:r>
      </m:oMath>
      <w:r w:rsidRPr="003355B8">
        <w:rPr>
          <w:rFonts w:ascii="Times New Roman" w:hAnsi="Times New Roman" w:cs="Times New Roman"/>
          <w:color w:val="auto"/>
          <w:sz w:val="18"/>
          <w:szCs w:val="18"/>
        </w:rPr>
        <w:t xml:space="preserve"> and </w:t>
      </w:r>
      <m:oMath>
        <m:r>
          <w:rPr>
            <w:rFonts w:ascii="Cambria Math" w:hAnsi="Cambria Math" w:cs="Times New Roman"/>
            <w:color w:val="auto"/>
            <w:sz w:val="18"/>
            <w:szCs w:val="18"/>
          </w:rPr>
          <m:t>w</m:t>
        </m:r>
      </m:oMath>
      <w:r w:rsidRPr="003355B8">
        <w:rPr>
          <w:rFonts w:ascii="Times New Roman" w:hAnsi="Times New Roman" w:cs="Times New Roman"/>
          <w:color w:val="auto"/>
          <w:sz w:val="18"/>
          <w:szCs w:val="18"/>
        </w:rPr>
        <w:t xml:space="preserve"> when </w:t>
      </w:r>
      <m:oMath>
        <m:r>
          <w:rPr>
            <w:rFonts w:ascii="Cambria Math" w:hAnsi="Cambria Math" w:cs="Times New Roman"/>
            <w:color w:val="auto"/>
            <w:sz w:val="18"/>
            <w:szCs w:val="18"/>
          </w:rPr>
          <m:t>g</m:t>
        </m:r>
      </m:oMath>
      <w:r w:rsidRPr="003355B8">
        <w:rPr>
          <w:rFonts w:ascii="Times New Roman" w:hAnsi="Times New Roman" w:cs="Times New Roman"/>
          <w:color w:val="auto"/>
          <w:sz w:val="18"/>
          <w:szCs w:val="18"/>
        </w:rPr>
        <w:t xml:space="preserve"> is lower than 100</w:t>
      </w:r>
      <w:r w:rsidRPr="003355B8">
        <w:rPr>
          <w:rFonts w:ascii="Arial" w:hAnsi="Arial" w:cs="Times New Roman"/>
          <w:color w:val="auto"/>
          <w:sz w:val="18"/>
          <w:szCs w:val="18"/>
        </w:rPr>
        <w:t>.</w:t>
      </w:r>
    </w:p>
    <w:p w14:paraId="3A465189" w14:textId="017371E9" w:rsidR="004A25E8" w:rsidRPr="003355B8" w:rsidRDefault="00040436" w:rsidP="00364F82">
      <w:pPr>
        <w:pStyle w:val="Heading1"/>
        <w:keepLines w:val="0"/>
        <w:numPr>
          <w:ilvl w:val="0"/>
          <w:numId w:val="31"/>
        </w:numPr>
        <w:spacing w:after="240" w:line="240" w:lineRule="auto"/>
        <w:ind w:left="180" w:hanging="180"/>
        <w:jc w:val="both"/>
        <w:rPr>
          <w:rFonts w:ascii="Times New Roman" w:hAnsi="Times New Roman" w:cs="Times New Roman"/>
          <w:b w:val="0"/>
          <w:color w:val="auto"/>
          <w:sz w:val="24"/>
          <w:szCs w:val="24"/>
        </w:rPr>
      </w:pPr>
      <w:bookmarkStart w:id="9" w:name="_dbr7axcw1l0i" w:colFirst="0" w:colLast="0"/>
      <w:bookmarkEnd w:id="9"/>
      <w:r w:rsidRPr="003355B8">
        <w:rPr>
          <w:rFonts w:ascii="Times New Roman" w:hAnsi="Times New Roman" w:cs="Arial"/>
          <w:bCs/>
          <w:color w:val="auto"/>
          <w:kern w:val="32"/>
          <w:sz w:val="20"/>
          <w:szCs w:val="32"/>
          <w:lang w:val="en-GB" w:eastAsia="de-DE"/>
        </w:rPr>
        <w:lastRenderedPageBreak/>
        <w:t xml:space="preserve"> </w:t>
      </w:r>
      <w:r w:rsidR="004A25E8" w:rsidRPr="003355B8">
        <w:rPr>
          <w:rFonts w:ascii="Times New Roman" w:hAnsi="Times New Roman" w:cs="Arial"/>
          <w:bCs/>
          <w:color w:val="auto"/>
          <w:kern w:val="32"/>
          <w:sz w:val="20"/>
          <w:szCs w:val="32"/>
          <w:lang w:val="en-GB" w:eastAsia="de-DE"/>
        </w:rPr>
        <w:t>Results</w:t>
      </w:r>
      <w:bookmarkStart w:id="10" w:name="_jubp3r4wix7e" w:colFirst="0" w:colLast="0"/>
      <w:bookmarkEnd w:id="10"/>
    </w:p>
    <w:p w14:paraId="36B2BA14" w14:textId="4CA4AC9A" w:rsidR="004A25E8" w:rsidRPr="003355B8" w:rsidRDefault="004A25E8" w:rsidP="00F211D8">
      <w:pPr>
        <w:spacing w:after="120" w:line="360" w:lineRule="auto"/>
        <w:jc w:val="both"/>
        <w:rPr>
          <w:rFonts w:ascii="Times New Roman" w:hAnsi="Times New Roman" w:cs="Times New Roman"/>
          <w:color w:val="auto"/>
          <w:sz w:val="20"/>
          <w:szCs w:val="24"/>
          <w:lang w:val="en-GB" w:eastAsia="de-DE"/>
        </w:rPr>
      </w:pPr>
      <w:bookmarkStart w:id="11" w:name="_272k2qu5jkq" w:colFirst="0" w:colLast="0"/>
      <w:bookmarkEnd w:id="11"/>
      <w:r w:rsidRPr="003355B8">
        <w:rPr>
          <w:rFonts w:ascii="Times New Roman" w:hAnsi="Times New Roman" w:cs="Times New Roman"/>
          <w:color w:val="auto"/>
          <w:sz w:val="20"/>
          <w:szCs w:val="24"/>
          <w:lang w:val="en-GB" w:eastAsia="de-DE"/>
        </w:rPr>
        <w:t xml:space="preserve">The surfaces and contours of the system resilience metric,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Rsystem</m:t>
            </m:r>
          </m:sub>
        </m:sSub>
      </m:oMath>
      <w:r w:rsidRPr="003355B8">
        <w:rPr>
          <w:rFonts w:ascii="Times New Roman" w:hAnsi="Times New Roman" w:cs="Times New Roman"/>
          <w:color w:val="auto"/>
          <w:sz w:val="20"/>
          <w:szCs w:val="24"/>
          <w:lang w:val="en-GB" w:eastAsia="de-DE"/>
        </w:rPr>
        <w:t xml:space="preserve">, and associated with different policies </w:t>
      </w:r>
      <m:oMath>
        <m:r>
          <m:rPr>
            <m:sty m:val="p"/>
          </m:rPr>
          <w:rPr>
            <w:rFonts w:ascii="Cambria Math" w:hAnsi="Cambria Math" w:cs="Times New Roman"/>
            <w:color w:val="auto"/>
            <w:sz w:val="20"/>
            <w:szCs w:val="24"/>
            <w:lang w:val="en-GB" w:eastAsia="de-DE"/>
          </w:rPr>
          <m:t>(</m:t>
        </m:r>
        <m:r>
          <w:rPr>
            <w:rFonts w:ascii="Cambria Math" w:hAnsi="Cambria Math" w:cs="Times New Roman"/>
            <w:color w:val="auto"/>
            <w:sz w:val="20"/>
            <w:szCs w:val="24"/>
            <w:lang w:val="en-GB" w:eastAsia="de-DE"/>
          </w:rPr>
          <m:t>C</m:t>
        </m:r>
        <m:r>
          <m:rPr>
            <m:sty m:val="p"/>
          </m:rPr>
          <w:rPr>
            <w:rFonts w:ascii="Cambria Math" w:hAnsi="Cambria Math" w:cs="Times New Roman"/>
            <w:color w:val="auto"/>
            <w:sz w:val="20"/>
            <w:szCs w:val="24"/>
            <w:lang w:val="en-GB" w:eastAsia="de-DE"/>
          </w:rPr>
          <m:t>-</m:t>
        </m:r>
        <m:r>
          <w:rPr>
            <w:rFonts w:ascii="Cambria Math" w:hAnsi="Cambria Math" w:cs="Times New Roman"/>
            <w:color w:val="auto"/>
            <w:sz w:val="20"/>
            <w:szCs w:val="24"/>
            <w:lang w:val="en-GB" w:eastAsia="de-DE"/>
          </w:rPr>
          <m:t>y</m:t>
        </m:r>
        <m:r>
          <m:rPr>
            <m:sty m:val="p"/>
          </m:rPr>
          <w:rPr>
            <w:rFonts w:ascii="Cambria Math" w:hAnsi="Cambria Math" w:cs="Times New Roman"/>
            <w:color w:val="auto"/>
            <w:sz w:val="20"/>
            <w:szCs w:val="24"/>
            <w:lang w:val="en-GB" w:eastAsia="de-DE"/>
          </w:rPr>
          <m:t>)</m:t>
        </m:r>
      </m:oMath>
      <w:r w:rsidRPr="003355B8">
        <w:rPr>
          <w:rFonts w:ascii="Times New Roman" w:hAnsi="Times New Roman" w:cs="Times New Roman"/>
          <w:color w:val="auto"/>
          <w:sz w:val="20"/>
          <w:szCs w:val="24"/>
          <w:lang w:val="en-GB" w:eastAsia="de-DE"/>
        </w:rPr>
        <w:t xml:space="preserve"> over the policy space are shown in Figs. </w:t>
      </w:r>
      <w:r w:rsidR="004C7AD0"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3a and b</w:t>
      </w:r>
      <w:r w:rsidR="004C7AD0"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xml:space="preserve">, respectively. The policies with sustainable outcomes </w:t>
      </w:r>
      <w:proofErr w:type="gramStart"/>
      <w:r w:rsidRPr="003355B8">
        <w:rPr>
          <w:rFonts w:ascii="Times New Roman" w:hAnsi="Times New Roman" w:cs="Times New Roman"/>
          <w:color w:val="auto"/>
          <w:sz w:val="20"/>
          <w:szCs w:val="24"/>
          <w:lang w:val="en-GB" w:eastAsia="de-DE"/>
        </w:rPr>
        <w:t>are located in</w:t>
      </w:r>
      <w:proofErr w:type="gramEnd"/>
      <w:r w:rsidRPr="003355B8">
        <w:rPr>
          <w:rFonts w:ascii="Times New Roman" w:hAnsi="Times New Roman" w:cs="Times New Roman"/>
          <w:color w:val="auto"/>
          <w:sz w:val="20"/>
          <w:szCs w:val="24"/>
          <w:lang w:val="en-GB" w:eastAsia="de-DE"/>
        </w:rPr>
        <w:t xml:space="preserve"> the middle of the policy space, with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Rsystem</m:t>
            </m:r>
          </m:sub>
        </m:sSub>
      </m:oMath>
      <w:r w:rsidRPr="003355B8">
        <w:rPr>
          <w:rFonts w:ascii="Times New Roman" w:hAnsi="Times New Roman" w:cs="Times New Roman"/>
          <w:color w:val="auto"/>
          <w:sz w:val="20"/>
          <w:szCs w:val="24"/>
          <w:lang w:val="en-GB" w:eastAsia="de-DE"/>
        </w:rPr>
        <w:t xml:space="preserve"> peaking in the center and declining as policies become more extreme in either direction. Our analysis also shows that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Rsystem</m:t>
            </m:r>
          </m:sub>
        </m:sSub>
      </m:oMath>
      <w:r w:rsidRPr="003355B8">
        <w:rPr>
          <w:rFonts w:ascii="Times New Roman" w:hAnsi="Times New Roman" w:cs="Times New Roman"/>
          <w:color w:val="auto"/>
          <w:sz w:val="20"/>
          <w:szCs w:val="24"/>
          <w:lang w:val="en-GB" w:eastAsia="de-DE"/>
        </w:rPr>
        <w:t xml:space="preserve"> is more or less proportional to the fraction of </w:t>
      </w:r>
      <w:r w:rsidR="00BE3045" w:rsidRPr="003355B8">
        <w:rPr>
          <w:rFonts w:ascii="Times New Roman" w:hAnsi="Times New Roman" w:cs="Times New Roman"/>
          <w:color w:val="auto"/>
          <w:sz w:val="20"/>
          <w:szCs w:val="24"/>
          <w:lang w:val="en-GB" w:eastAsia="de-DE"/>
        </w:rPr>
        <w:t xml:space="preserve">settings </w:t>
      </w:r>
      <w:r w:rsidRPr="003355B8">
        <w:rPr>
          <w:rFonts w:ascii="Times New Roman" w:hAnsi="Times New Roman" w:cs="Times New Roman"/>
          <w:color w:val="auto"/>
          <w:sz w:val="20"/>
          <w:szCs w:val="24"/>
          <w:lang w:val="en-GB" w:eastAsia="de-DE"/>
        </w:rPr>
        <w:t>(</w:t>
      </w:r>
      <m:oMath>
        <m:r>
          <w:rPr>
            <w:rFonts w:ascii="Cambria Math" w:hAnsi="Cambria Math" w:cs="Times New Roman"/>
            <w:color w:val="auto"/>
            <w:sz w:val="20"/>
            <w:szCs w:val="24"/>
            <w:lang w:val="en-GB" w:eastAsia="de-DE"/>
          </w:rPr>
          <m:t>g</m:t>
        </m:r>
      </m:oMath>
      <w:r w:rsidRPr="003355B8">
        <w:rPr>
          <w:rFonts w:ascii="Times New Roman" w:hAnsi="Times New Roman" w:cs="Times New Roman"/>
          <w:color w:val="auto"/>
          <w:sz w:val="20"/>
          <w:szCs w:val="24"/>
          <w:lang w:val="en-GB" w:eastAsia="de-DE"/>
        </w:rPr>
        <w:t>-</w:t>
      </w:r>
      <m:oMath>
        <m:r>
          <w:rPr>
            <w:rFonts w:ascii="Cambria Math" w:hAnsi="Cambria Math" w:cs="Times New Roman"/>
            <w:color w:val="auto"/>
            <w:sz w:val="20"/>
            <w:szCs w:val="24"/>
            <w:lang w:val="en-GB" w:eastAsia="de-DE"/>
          </w:rPr>
          <m:t>w</m:t>
        </m:r>
      </m:oMath>
      <w:r w:rsidRPr="003355B8">
        <w:rPr>
          <w:rFonts w:ascii="Times New Roman" w:hAnsi="Times New Roman" w:cs="Times New Roman"/>
          <w:color w:val="auto"/>
          <w:sz w:val="20"/>
          <w:szCs w:val="24"/>
          <w:lang w:val="en-GB" w:eastAsia="de-DE"/>
        </w:rPr>
        <w:t xml:space="preserve"> combinations) under which the system with that particular policy (a </w:t>
      </w:r>
      <m:oMath>
        <m:r>
          <w:rPr>
            <w:rFonts w:ascii="Cambria Math" w:hAnsi="Cambria Math" w:cs="Times New Roman"/>
            <w:color w:val="auto"/>
            <w:sz w:val="20"/>
            <w:szCs w:val="24"/>
            <w:lang w:val="en-GB" w:eastAsia="de-DE"/>
          </w:rPr>
          <m:t>C</m:t>
        </m:r>
      </m:oMath>
      <w:r w:rsidRPr="003355B8">
        <w:rPr>
          <w:rFonts w:ascii="Times New Roman" w:hAnsi="Times New Roman" w:cs="Times New Roman"/>
          <w:color w:val="auto"/>
          <w:sz w:val="20"/>
          <w:szCs w:val="24"/>
          <w:lang w:val="en-GB" w:eastAsia="de-DE"/>
        </w:rPr>
        <w:t>-</w:t>
      </w:r>
      <m:oMath>
        <m:r>
          <w:rPr>
            <w:rFonts w:ascii="Cambria Math" w:hAnsi="Cambria Math" w:cs="Times New Roman"/>
            <w:color w:val="auto"/>
            <w:sz w:val="20"/>
            <w:szCs w:val="24"/>
            <w:lang w:val="en-GB" w:eastAsia="de-DE"/>
          </w:rPr>
          <m:t>y</m:t>
        </m:r>
      </m:oMath>
      <w:r w:rsidRPr="003355B8">
        <w:rPr>
          <w:rFonts w:ascii="Times New Roman" w:hAnsi="Times New Roman" w:cs="Times New Roman"/>
          <w:color w:val="auto"/>
          <w:sz w:val="20"/>
          <w:szCs w:val="24"/>
          <w:lang w:val="en-GB" w:eastAsia="de-DE"/>
        </w:rPr>
        <w:t xml:space="preserve"> combination) results in a sustainable outcome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r>
          <m:rPr>
            <m:sty m:val="p"/>
          </m:rPr>
          <w:rPr>
            <w:rFonts w:ascii="Cambria Math" w:hAnsi="Cambria Math" w:cs="Cambria Math"/>
            <w:color w:val="auto"/>
            <w:sz w:val="20"/>
            <w:szCs w:val="24"/>
            <w:lang w:val="en-GB" w:eastAsia="de-DE"/>
          </w:rPr>
          <m:t>&gt;0</m:t>
        </m:r>
      </m:oMath>
      <w:r w:rsidRPr="003355B8">
        <w:rPr>
          <w:rFonts w:ascii="Times New Roman" w:hAnsi="Times New Roman" w:cs="Times New Roman"/>
          <w:color w:val="auto"/>
          <w:sz w:val="20"/>
          <w:szCs w:val="24"/>
          <w:lang w:val="en-GB" w:eastAsia="de-DE"/>
        </w:rPr>
        <w:t xml:space="preserve">). A similar concept has been used in the robust decision making literature </w:t>
      </w:r>
      <w:r w:rsidR="000E17FF" w:rsidRPr="003355B8">
        <w:rPr>
          <w:rStyle w:val="FootnoteReference"/>
          <w:rFonts w:ascii="Times New Roman" w:hAnsi="Times New Roman" w:cs="Times New Roman"/>
          <w:color w:val="auto"/>
          <w:sz w:val="20"/>
          <w:szCs w:val="24"/>
          <w:lang w:val="en-GB" w:eastAsia="de-DE"/>
        </w:rPr>
        <w:fldChar w:fldCharType="begin" w:fldLock="1"/>
      </w:r>
      <w:r w:rsidR="0010042C" w:rsidRPr="003355B8">
        <w:rPr>
          <w:rFonts w:ascii="Times New Roman" w:hAnsi="Times New Roman" w:cs="Times New Roman"/>
          <w:color w:val="auto"/>
          <w:sz w:val="20"/>
          <w:szCs w:val="24"/>
          <w:lang w:val="en-GB" w:eastAsia="de-DE"/>
        </w:rPr>
        <w:instrText>ADDIN CSL_CITATION { "citationItems" : [ { "id" : "ITEM-1", "itemData" : { "DOI" : "10.1016/j.gloenvcha.2006.11.006", "ISBN" : "0377-2217", "ISSN" : "09593780", "PMID" : "23947421", "abstract" : "Scenarios play a prominent role in policy debates over climate change, but questions continue about how best to use them. We describe a new analytic method, based on robust decision making, for suggesting narrative scenarios that emerge naturally from a decision analytic framework. We identify key scenarios as those most important to the choices facing decision makers and find such cases with statistical analysis of datasets created by multiple runs of computer simulation models. The resulting scenarios can communicate quantitative judgments about uncertainty as well as support a well-defined decision process without many drawbacks of current approaches. We describe an application to long-term water planning in California. ?? 2006 Elsevier Ltd. All rights reserved.", "author" : [ { "dropping-particle" : "", "family" : "Groves", "given" : "David G.", "non-dropping-particle" : "", "parse-names" : false, "suffix" : "" }, { "dropping-particle" : "", "family" : "Lempert", "given" : "Robert J.", "non-dropping-particle" : "", "parse-names" : false, "suffix" : "" } ], "container-title" : "Global Environmental Change", "id" : "ITEM-1", "issue" : "1", "issued" : { "date-parts" : [ [ "2007" ] ] }, "page" : "73-85", "title" : "A new analytic method for finding policy-relevant scenarios", "type" : "article-journal", "volume" : "17" }, "uris" : [ "http://www.mendeley.com/documents/?uuid=fe837b52-64ec-401c-9057-064226a22347" ] }, { "id" : "ITEM-2", "itemData" : { "DOI" : "10.1016/j.techfore.2009.08.002", "ISBN" : "0040-1625", "ISSN" : "00401625", "abstract" : "Scenarios provide a commonly used and intuitively appealing means to communicate and characterize uncertainty in many decision support applications, but can fall short of their potential especially when used in broad public debates among participants with diverse interests and values. This paper describes a new approach to participatory, computer-assisted scenario development that we call scenario discovery, which aims to address these challenges. The approach defines scenarios as a set of plausible future states of the world that represent vulnerabilities of proposed policies, that is, cases where a policy fails to meet its performance goals. Scenario discovery characterizes such sets by helping users to apply statistical or data-mining algorithms to databases of simulation-model-generated results in order to identify easy-to-interpret combinations of uncertain model input parameters that are highly predictive of these policy-relevant cases. The approach has already proved successful in several high impact policy studies. This paper systematically describes the scenario discovery concept and its implementation, presents statistical tests to evaluate the resulting scenarios, and demonstrates the approach on an example policy problem involving the efficacy of a proposed U.S. renewable energy standard. The paper also describes how scenario discovery appears to address several outstanding challenges faced when applying traditional scenario approaches in contentious public debates. \u00a9 2009 Elsevier Inc. All rights reserved.", "author" : [ { "dropping-particle" : "", "family" : "Bryant", "given" : "Benjamin P.", "non-dropping-particle" : "", "parse-names" : false, "suffix" : "" }, { "dropping-particle" : "", "family" : "Lempert", "given" : "Robert J.", "non-dropping-particle" : "", "parse-names" : false, "suffix" : "" } ], "container-title" : "Technological Forecasting and Social Change", "id" : "ITEM-2", "issue" : "1", "issued" : { "date-parts" : [ [ "2010" ] ] }, "page" : "34-49", "title" : "Thinking inside the box: A participatory, computer-assisted approach to scenario discovery", "type" : "article-journal", "volume" : "77" }, "uris" : [ "http://www.mendeley.com/documents/?uuid=d1bec4fe-de0d-4e89-8f42-8837b5b6f938" ] } ], "mendeley" : { "formattedCitation" : "(Groves and Lempert; Bryant and Lempert)", "manualFormatting" : "(e.g., Groves and Lempert, 2007; Bryant and Lempert, 2009)", "plainTextFormattedCitation" : "(Groves and Lempert; Bryant and Lempert)", "previouslyFormattedCitation" : "(Groves and Lempert; Bryant and Lempert)"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 xml:space="preserve">(e.g., Groves and Lempert, </w:t>
      </w:r>
      <w:r w:rsidR="00992D5F" w:rsidRPr="003355B8">
        <w:rPr>
          <w:rFonts w:ascii="Times New Roman" w:hAnsi="Times New Roman" w:cs="Times New Roman"/>
          <w:noProof/>
          <w:color w:val="auto"/>
          <w:sz w:val="20"/>
          <w:szCs w:val="24"/>
          <w:lang w:val="en-GB" w:eastAsia="de-DE"/>
        </w:rPr>
        <w:t>200</w:t>
      </w:r>
      <w:r w:rsidR="0010042C" w:rsidRPr="003355B8">
        <w:rPr>
          <w:rFonts w:ascii="Times New Roman" w:hAnsi="Times New Roman" w:cs="Times New Roman"/>
          <w:noProof/>
          <w:color w:val="auto"/>
          <w:sz w:val="20"/>
          <w:szCs w:val="24"/>
          <w:lang w:val="en-GB" w:eastAsia="de-DE"/>
        </w:rPr>
        <w:t>7</w:t>
      </w:r>
      <w:r w:rsidR="000E17FF" w:rsidRPr="003355B8">
        <w:rPr>
          <w:rFonts w:ascii="Times New Roman" w:hAnsi="Times New Roman" w:cs="Times New Roman"/>
          <w:noProof/>
          <w:color w:val="auto"/>
          <w:sz w:val="20"/>
          <w:szCs w:val="24"/>
          <w:lang w:val="en-GB" w:eastAsia="de-DE"/>
        </w:rPr>
        <w:t>; Bryant and Lempert, 20</w:t>
      </w:r>
      <w:r w:rsidR="0010042C" w:rsidRPr="003355B8">
        <w:rPr>
          <w:rFonts w:ascii="Times New Roman" w:hAnsi="Times New Roman" w:cs="Times New Roman"/>
          <w:noProof/>
          <w:color w:val="auto"/>
          <w:sz w:val="20"/>
          <w:szCs w:val="24"/>
          <w:lang w:val="en-GB" w:eastAsia="de-DE"/>
        </w:rPr>
        <w:t>09</w:t>
      </w:r>
      <w:r w:rsidR="000E17FF" w:rsidRPr="003355B8">
        <w:rPr>
          <w:rFonts w:ascii="Times New Roman" w:hAnsi="Times New Roman" w:cs="Times New Roman"/>
          <w:noProof/>
          <w:color w:val="auto"/>
          <w:sz w:val="20"/>
          <w:szCs w:val="24"/>
          <w:lang w:val="en-GB" w:eastAsia="de-DE"/>
        </w:rPr>
        <w:t>)</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p>
    <w:p w14:paraId="3C75A580" w14:textId="6C0FB3A9" w:rsidR="00CA4502" w:rsidRPr="003355B8" w:rsidRDefault="004A25E8" w:rsidP="0090629F">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The surfaces and contours of the robustness of,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20"/>
          <w:szCs w:val="24"/>
          <w:lang w:val="en-GB" w:eastAsia="de-DE"/>
        </w:rPr>
        <w:t xml:space="preserve">, associated with different policies over the policy space are shown in Figs. </w:t>
      </w:r>
      <w:r w:rsidR="009F0B92"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3c and d</w:t>
      </w:r>
      <w:r w:rsidR="009F0B92"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 respectively.</w:t>
      </w:r>
      <w:r w:rsidR="00553176" w:rsidRPr="003355B8">
        <w:rPr>
          <w:rFonts w:ascii="Times New Roman" w:hAnsi="Times New Roman" w:cs="Times New Roman"/>
          <w:color w:val="auto"/>
          <w:sz w:val="20"/>
          <w:szCs w:val="24"/>
          <w:lang w:val="en-GB" w:eastAsia="de-DE"/>
        </w:rPr>
        <w:t xml:space="preserve"> The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00553176" w:rsidRPr="003355B8">
        <w:rPr>
          <w:rFonts w:ascii="Times New Roman" w:hAnsi="Times New Roman" w:cs="Times New Roman"/>
          <w:color w:val="auto"/>
          <w:sz w:val="20"/>
          <w:szCs w:val="24"/>
          <w:lang w:val="en-GB" w:eastAsia="de-DE"/>
        </w:rPr>
        <w:t xml:space="preserve"> “landscape” is more irregular, </w:t>
      </w:r>
      <w:r w:rsidR="00040436" w:rsidRPr="003355B8">
        <w:rPr>
          <w:rFonts w:ascii="Times New Roman" w:hAnsi="Times New Roman" w:cs="Times New Roman"/>
          <w:color w:val="auto"/>
          <w:sz w:val="20"/>
          <w:szCs w:val="24"/>
          <w:lang w:val="en-GB" w:eastAsia="de-DE"/>
        </w:rPr>
        <w:t>having two local maxima with one being more dominant than the other</w:t>
      </w:r>
      <w:r w:rsidR="00553176" w:rsidRPr="003355B8">
        <w:rPr>
          <w:rFonts w:ascii="Times New Roman" w:hAnsi="Times New Roman" w:cs="Times New Roman"/>
          <w:color w:val="auto"/>
          <w:sz w:val="20"/>
          <w:szCs w:val="24"/>
          <w:lang w:val="en-GB" w:eastAsia="de-DE"/>
        </w:rPr>
        <w:t>.</w:t>
      </w:r>
      <w:r w:rsidR="0039072E" w:rsidRPr="003355B8">
        <w:rPr>
          <w:rFonts w:ascii="Times New Roman" w:hAnsi="Times New Roman" w:cs="Times New Roman"/>
          <w:color w:val="auto"/>
          <w:sz w:val="20"/>
          <w:szCs w:val="24"/>
          <w:lang w:val="en-GB" w:eastAsia="de-DE"/>
        </w:rPr>
        <w:t xml:space="preserve"> The region with high robustness appears to be in the same general areas as the region with h</w:t>
      </w:r>
      <w:r w:rsidR="00AF0CD7" w:rsidRPr="003355B8">
        <w:rPr>
          <w:rFonts w:ascii="Times New Roman" w:hAnsi="Times New Roman" w:cs="Times New Roman"/>
          <w:color w:val="auto"/>
          <w:sz w:val="20"/>
          <w:szCs w:val="24"/>
          <w:lang w:val="en-GB" w:eastAsia="de-DE"/>
        </w:rPr>
        <w:t>i</w:t>
      </w:r>
      <w:r w:rsidR="0039072E" w:rsidRPr="003355B8">
        <w:rPr>
          <w:rFonts w:ascii="Times New Roman" w:hAnsi="Times New Roman" w:cs="Times New Roman"/>
          <w:color w:val="auto"/>
          <w:sz w:val="20"/>
          <w:szCs w:val="24"/>
          <w:lang w:val="en-GB" w:eastAsia="de-DE"/>
        </w:rPr>
        <w:t>gh resilience.</w:t>
      </w:r>
    </w:p>
    <w:p w14:paraId="75A7C3A7" w14:textId="0895A81F" w:rsidR="00AF731E" w:rsidRPr="003355B8" w:rsidRDefault="00AF731E" w:rsidP="00AF731E">
      <w:pPr>
        <w:spacing w:after="120" w:line="240" w:lineRule="auto"/>
        <w:ind w:left="360" w:right="450"/>
        <w:jc w:val="center"/>
        <w:rPr>
          <w:rFonts w:ascii="Times New Roman" w:hAnsi="Times New Roman" w:cs="Times New Roman"/>
          <w:color w:val="auto"/>
          <w:sz w:val="18"/>
          <w:szCs w:val="18"/>
        </w:rPr>
      </w:pPr>
      <w:r w:rsidRPr="003355B8">
        <w:rPr>
          <w:rFonts w:ascii="Times New Roman" w:hAnsi="Times New Roman" w:cs="Times New Roman"/>
          <w:color w:val="auto"/>
          <w:sz w:val="18"/>
          <w:szCs w:val="18"/>
        </w:rPr>
        <w:t xml:space="preserve">Figure 3: the mean,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and the below-mean mean,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18"/>
          <w:szCs w:val="18"/>
        </w:rPr>
        <w:t xml:space="preserve">, of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over entire decision space: (a) Surface of the resilience metric,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(b) Contours of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(c) Surface of the robustness, below-mean mean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18"/>
          <w:szCs w:val="18"/>
        </w:rPr>
        <w:t>; (d) Contours of the robustness, below-mean mean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18"/>
          <w:szCs w:val="18"/>
        </w:rPr>
        <w:t xml:space="preserve"> </w:t>
      </w:r>
    </w:p>
    <w:p w14:paraId="1C88CA61" w14:textId="2F8581F7" w:rsidR="00384767" w:rsidRPr="003355B8" w:rsidRDefault="00DA4CD5" w:rsidP="00C137F1">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We explore the interplay between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Rsystem</m:t>
            </m:r>
          </m:sub>
        </m:sSub>
      </m:oMath>
      <w:r w:rsidRPr="003355B8">
        <w:rPr>
          <w:rFonts w:ascii="Times New Roman" w:hAnsi="Times New Roman" w:cs="Times New Roman"/>
          <w:color w:val="auto"/>
          <w:sz w:val="20"/>
          <w:szCs w:val="24"/>
          <w:lang w:val="en-GB" w:eastAsia="de-DE"/>
        </w:rPr>
        <w:t xml:space="preserve"> and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20"/>
          <w:szCs w:val="24"/>
          <w:lang w:val="en-GB" w:eastAsia="de-DE"/>
        </w:rPr>
        <w:t xml:space="preserve"> in Fig. 4. Fig</w:t>
      </w:r>
      <w:proofErr w:type="spellStart"/>
      <w:r w:rsidR="00E30D0B" w:rsidRPr="003355B8">
        <w:rPr>
          <w:rFonts w:ascii="Times New Roman" w:hAnsi="Times New Roman" w:cs="Times New Roman"/>
          <w:color w:val="auto"/>
          <w:sz w:val="20"/>
          <w:szCs w:val="24"/>
          <w:lang w:val="en-GB" w:eastAsia="de-DE"/>
        </w:rPr>
        <w:t>ure</w:t>
      </w:r>
      <w:proofErr w:type="spellEnd"/>
      <w:r w:rsidRPr="003355B8">
        <w:rPr>
          <w:rFonts w:ascii="Times New Roman" w:hAnsi="Times New Roman" w:cs="Times New Roman"/>
          <w:color w:val="auto"/>
          <w:sz w:val="20"/>
          <w:szCs w:val="24"/>
          <w:lang w:val="en-GB" w:eastAsia="de-DE"/>
        </w:rPr>
        <w:t xml:space="preserve"> 4 shows that </w:t>
      </w:r>
      <w:r w:rsidR="004A25E8" w:rsidRPr="003355B8">
        <w:rPr>
          <w:rFonts w:ascii="Times New Roman" w:hAnsi="Times New Roman" w:cs="Times New Roman"/>
          <w:color w:val="auto"/>
          <w:sz w:val="20"/>
          <w:szCs w:val="24"/>
          <w:lang w:val="en-GB" w:eastAsia="de-DE"/>
        </w:rPr>
        <w:t xml:space="preserve">there are no perfect policies in the sense that no policies yield both maximum resilience and maximum robustness. </w:t>
      </w:r>
      <w:r w:rsidR="00D547CB" w:rsidRPr="003355B8">
        <w:rPr>
          <w:rFonts w:ascii="Times New Roman" w:hAnsi="Times New Roman" w:cs="Times New Roman"/>
          <w:color w:val="auto"/>
          <w:sz w:val="20"/>
          <w:szCs w:val="24"/>
          <w:lang w:val="en-GB" w:eastAsia="de-DE"/>
        </w:rPr>
        <w:t>Recall that</w:t>
      </w:r>
      <w:r w:rsidR="00EA56DD" w:rsidRPr="003355B8">
        <w:rPr>
          <w:rFonts w:ascii="Times New Roman" w:hAnsi="Times New Roman" w:cs="Times New Roman"/>
          <w:color w:val="auto"/>
          <w:sz w:val="20"/>
          <w:szCs w:val="24"/>
          <w:lang w:val="en-GB" w:eastAsia="de-DE"/>
        </w:rPr>
        <w:t xml:space="preserve"> the robustness indicates how sensitive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R</m:t>
            </m:r>
          </m:e>
          <m:sub>
            <m:r>
              <w:rPr>
                <w:rFonts w:ascii="Cambria Math" w:hAnsi="Cambria Math" w:cs="Cambria Math"/>
                <w:color w:val="auto"/>
                <w:sz w:val="20"/>
                <w:szCs w:val="24"/>
                <w:lang w:val="en-GB" w:eastAsia="de-DE"/>
              </w:rPr>
              <m:t>system</m:t>
            </m:r>
          </m:sub>
        </m:sSub>
      </m:oMath>
      <w:r w:rsidR="00562FFB" w:rsidRPr="003355B8">
        <w:rPr>
          <w:rFonts w:ascii="Times New Roman" w:hAnsi="Times New Roman" w:cs="Times New Roman"/>
          <w:color w:val="auto"/>
          <w:sz w:val="20"/>
          <w:szCs w:val="24"/>
          <w:lang w:val="en-GB" w:eastAsia="de-DE"/>
        </w:rPr>
        <w:t xml:space="preserve"> itself</w:t>
      </w:r>
      <w:r w:rsidR="004C1CB0" w:rsidRPr="003355B8">
        <w:rPr>
          <w:rFonts w:ascii="Times New Roman" w:hAnsi="Times New Roman" w:cs="Times New Roman"/>
          <w:color w:val="auto"/>
          <w:sz w:val="20"/>
          <w:szCs w:val="24"/>
          <w:lang w:val="en-GB" w:eastAsia="de-DE"/>
        </w:rPr>
        <w:t xml:space="preserve"> </w:t>
      </w:r>
      <w:r w:rsidR="000A651C" w:rsidRPr="003355B8">
        <w:rPr>
          <w:rFonts w:ascii="Times New Roman" w:hAnsi="Times New Roman" w:cs="Times New Roman"/>
          <w:color w:val="auto"/>
          <w:sz w:val="20"/>
          <w:szCs w:val="24"/>
          <w:lang w:val="en-GB" w:eastAsia="de-DE"/>
        </w:rPr>
        <w:t>is</w:t>
      </w:r>
      <w:r w:rsidR="00EA56DD" w:rsidRPr="003355B8">
        <w:rPr>
          <w:rFonts w:ascii="Times New Roman" w:hAnsi="Times New Roman" w:cs="Times New Roman"/>
          <w:color w:val="auto"/>
          <w:sz w:val="20"/>
          <w:szCs w:val="24"/>
          <w:lang w:val="en-GB" w:eastAsia="de-DE"/>
        </w:rPr>
        <w:t xml:space="preserve"> </w:t>
      </w:r>
      <w:r w:rsidR="000A651C" w:rsidRPr="003355B8">
        <w:rPr>
          <w:rFonts w:ascii="Times New Roman" w:hAnsi="Times New Roman" w:cs="Times New Roman"/>
          <w:color w:val="auto"/>
          <w:sz w:val="20"/>
          <w:szCs w:val="24"/>
          <w:lang w:val="en-GB" w:eastAsia="de-DE"/>
        </w:rPr>
        <w:t xml:space="preserve">to </w:t>
      </w:r>
      <w:r w:rsidR="00791ABE" w:rsidRPr="003355B8">
        <w:rPr>
          <w:rFonts w:ascii="Times New Roman" w:hAnsi="Times New Roman" w:cs="Times New Roman"/>
          <w:color w:val="auto"/>
          <w:sz w:val="20"/>
          <w:szCs w:val="24"/>
          <w:lang w:val="en-GB" w:eastAsia="de-DE"/>
        </w:rPr>
        <w:t xml:space="preserve">uncertainty in the underlying </w:t>
      </w:r>
      <w:r w:rsidR="00BE3045" w:rsidRPr="003355B8">
        <w:rPr>
          <w:rFonts w:ascii="Times New Roman" w:hAnsi="Times New Roman" w:cs="Times New Roman"/>
          <w:color w:val="auto"/>
          <w:sz w:val="20"/>
          <w:szCs w:val="24"/>
          <w:lang w:val="en-GB" w:eastAsia="de-DE"/>
        </w:rPr>
        <w:t>setting</w:t>
      </w:r>
      <w:r w:rsidR="00791ABE" w:rsidRPr="003355B8">
        <w:rPr>
          <w:rFonts w:ascii="Times New Roman" w:hAnsi="Times New Roman" w:cs="Times New Roman"/>
          <w:color w:val="auto"/>
          <w:sz w:val="20"/>
          <w:szCs w:val="24"/>
          <w:lang w:val="en-GB" w:eastAsia="de-DE"/>
        </w:rPr>
        <w:t xml:space="preserve"> of the system</w:t>
      </w:r>
      <w:r w:rsidR="00791ABE" w:rsidRPr="003355B8" w:rsidDel="00791ABE">
        <w:rPr>
          <w:rFonts w:ascii="Times New Roman" w:hAnsi="Times New Roman" w:cs="Times New Roman"/>
          <w:color w:val="auto"/>
          <w:sz w:val="20"/>
          <w:szCs w:val="24"/>
          <w:lang w:val="en-GB" w:eastAsia="de-DE"/>
        </w:rPr>
        <w:t xml:space="preserve"> </w:t>
      </w:r>
      <w:r w:rsidR="00791ABE" w:rsidRPr="003355B8">
        <w:rPr>
          <w:rFonts w:ascii="Times New Roman" w:hAnsi="Times New Roman" w:cs="Times New Roman"/>
          <w:color w:val="auto"/>
          <w:sz w:val="20"/>
          <w:szCs w:val="24"/>
          <w:lang w:val="en-GB" w:eastAsia="de-DE"/>
        </w:rPr>
        <w:t xml:space="preserve">(e.g., </w:t>
      </w:r>
      <m:oMath>
        <m:r>
          <w:rPr>
            <w:rFonts w:ascii="Cambria Math" w:hAnsi="Cambria Math" w:cs="Times New Roman"/>
            <w:color w:val="auto"/>
            <w:sz w:val="20"/>
            <w:szCs w:val="24"/>
            <w:lang w:val="en-GB" w:eastAsia="de-DE"/>
          </w:rPr>
          <m:t>g</m:t>
        </m:r>
      </m:oMath>
      <w:r w:rsidR="00791ABE" w:rsidRPr="003355B8">
        <w:rPr>
          <w:rFonts w:ascii="Times New Roman" w:hAnsi="Times New Roman" w:cs="Times New Roman"/>
          <w:color w:val="auto"/>
          <w:sz w:val="20"/>
          <w:szCs w:val="24"/>
          <w:lang w:val="en-GB" w:eastAsia="de-DE"/>
        </w:rPr>
        <w:t xml:space="preserve"> and </w:t>
      </w:r>
      <m:oMath>
        <m:r>
          <w:rPr>
            <w:rFonts w:ascii="Cambria Math" w:hAnsi="Cambria Math" w:cs="Times New Roman"/>
            <w:color w:val="auto"/>
            <w:sz w:val="20"/>
            <w:szCs w:val="24"/>
            <w:lang w:val="en-GB" w:eastAsia="de-DE"/>
          </w:rPr>
          <m:t>w</m:t>
        </m:r>
      </m:oMath>
      <w:r w:rsidR="00791ABE" w:rsidRPr="003355B8">
        <w:rPr>
          <w:rFonts w:ascii="Times New Roman" w:hAnsi="Times New Roman" w:cs="Times New Roman"/>
          <w:color w:val="auto"/>
          <w:sz w:val="20"/>
          <w:szCs w:val="24"/>
          <w:lang w:val="en-GB" w:eastAsia="de-DE"/>
        </w:rPr>
        <w:t>)</w:t>
      </w:r>
      <w:r w:rsidR="00EA56DD" w:rsidRPr="003355B8">
        <w:rPr>
          <w:rFonts w:ascii="Times New Roman" w:hAnsi="Times New Roman" w:cs="Times New Roman"/>
          <w:color w:val="auto"/>
          <w:sz w:val="20"/>
          <w:szCs w:val="24"/>
          <w:lang w:val="en-GB" w:eastAsia="de-DE"/>
        </w:rPr>
        <w:t xml:space="preserve">. </w:t>
      </w:r>
      <w:r w:rsidR="004A25E8" w:rsidRPr="003355B8">
        <w:rPr>
          <w:rFonts w:ascii="Times New Roman" w:hAnsi="Times New Roman" w:cs="Times New Roman"/>
          <w:color w:val="auto"/>
          <w:sz w:val="20"/>
          <w:szCs w:val="24"/>
          <w:lang w:val="en-GB" w:eastAsia="de-DE"/>
        </w:rPr>
        <w:t xml:space="preserve">The best policies are those along the Pareto frontier in </w:t>
      </w:r>
      <w:r w:rsidRPr="003355B8">
        <w:rPr>
          <w:rFonts w:ascii="Times New Roman" w:hAnsi="Times New Roman" w:cs="Times New Roman"/>
          <w:color w:val="auto"/>
          <w:sz w:val="20"/>
          <w:szCs w:val="24"/>
          <w:lang w:val="en-GB" w:eastAsia="de-DE"/>
        </w:rPr>
        <w:t>the resilience-robustness space</w:t>
      </w:r>
      <w:r w:rsidR="00281B00" w:rsidRPr="003355B8">
        <w:rPr>
          <w:rFonts w:ascii="Times New Roman" w:hAnsi="Times New Roman" w:cs="Times New Roman"/>
          <w:color w:val="auto"/>
          <w:sz w:val="20"/>
          <w:szCs w:val="24"/>
          <w:lang w:val="en-GB" w:eastAsia="de-DE"/>
        </w:rPr>
        <w:t xml:space="preserve">: among this set of Pareto-optimal policies, </w:t>
      </w:r>
      <w:r w:rsidR="004A6AFF" w:rsidRPr="003355B8">
        <w:rPr>
          <w:rFonts w:ascii="Times New Roman" w:hAnsi="Times New Roman" w:cs="Times New Roman"/>
          <w:color w:val="auto"/>
          <w:sz w:val="20"/>
          <w:szCs w:val="24"/>
          <w:lang w:val="en-GB" w:eastAsia="de-DE"/>
        </w:rPr>
        <w:t>an increase in</w:t>
      </w:r>
      <w:r w:rsidR="00281B00" w:rsidRPr="003355B8">
        <w:rPr>
          <w:rFonts w:ascii="Times New Roman" w:hAnsi="Times New Roman" w:cs="Times New Roman"/>
          <w:color w:val="auto"/>
          <w:sz w:val="20"/>
          <w:szCs w:val="24"/>
          <w:lang w:val="en-GB" w:eastAsia="de-DE"/>
        </w:rPr>
        <w:t xml:space="preserve"> </w:t>
      </w:r>
      <w:r w:rsidR="004A6AFF" w:rsidRPr="003355B8">
        <w:rPr>
          <w:rFonts w:ascii="Times New Roman" w:hAnsi="Times New Roman" w:cs="Times New Roman"/>
          <w:color w:val="auto"/>
          <w:sz w:val="20"/>
          <w:szCs w:val="24"/>
          <w:lang w:val="en-GB" w:eastAsia="de-DE"/>
        </w:rPr>
        <w:t>resilience is necessarily accompanied by a decrease in robustness, clearly illustrating</w:t>
      </w:r>
      <w:r w:rsidRPr="003355B8">
        <w:rPr>
          <w:rFonts w:ascii="Times New Roman" w:hAnsi="Times New Roman" w:cs="Times New Roman"/>
          <w:color w:val="auto"/>
          <w:sz w:val="20"/>
          <w:szCs w:val="24"/>
          <w:lang w:val="en-GB" w:eastAsia="de-DE"/>
        </w:rPr>
        <w:t xml:space="preserve"> the </w:t>
      </w:r>
      <w:r w:rsidR="00102D5E" w:rsidRPr="003355B8">
        <w:rPr>
          <w:rFonts w:ascii="Times New Roman" w:hAnsi="Times New Roman" w:cs="Times New Roman"/>
          <w:color w:val="auto"/>
          <w:sz w:val="20"/>
          <w:szCs w:val="24"/>
          <w:lang w:val="en-GB" w:eastAsia="de-DE"/>
        </w:rPr>
        <w:t>trade</w:t>
      </w:r>
      <w:r w:rsidR="00654E4D" w:rsidRPr="003355B8">
        <w:rPr>
          <w:rFonts w:ascii="Times New Roman" w:hAnsi="Times New Roman" w:cs="Times New Roman"/>
          <w:color w:val="auto"/>
          <w:sz w:val="20"/>
          <w:szCs w:val="24"/>
          <w:lang w:val="en-GB" w:eastAsia="de-DE"/>
        </w:rPr>
        <w:t>-</w:t>
      </w:r>
      <w:r w:rsidR="00102D5E" w:rsidRPr="003355B8">
        <w:rPr>
          <w:rFonts w:ascii="Times New Roman" w:hAnsi="Times New Roman" w:cs="Times New Roman"/>
          <w:color w:val="auto"/>
          <w:sz w:val="20"/>
          <w:szCs w:val="24"/>
          <w:lang w:val="en-GB" w:eastAsia="de-DE"/>
        </w:rPr>
        <w:t>off</w:t>
      </w:r>
      <w:r w:rsidRPr="003355B8">
        <w:rPr>
          <w:rFonts w:ascii="Times New Roman" w:hAnsi="Times New Roman" w:cs="Times New Roman"/>
          <w:color w:val="auto"/>
          <w:sz w:val="20"/>
          <w:szCs w:val="24"/>
          <w:lang w:val="en-GB" w:eastAsia="de-DE"/>
        </w:rPr>
        <w:t xml:space="preserve"> between robustness and resilience.</w:t>
      </w:r>
      <w:r w:rsidR="004A25E8" w:rsidRPr="003355B8">
        <w:rPr>
          <w:rFonts w:ascii="Times New Roman" w:hAnsi="Times New Roman" w:cs="Times New Roman"/>
          <w:color w:val="auto"/>
          <w:sz w:val="20"/>
          <w:szCs w:val="24"/>
          <w:lang w:val="en-GB" w:eastAsia="de-DE"/>
        </w:rPr>
        <w:t xml:space="preserve"> </w:t>
      </w:r>
      <w:r w:rsidR="00787630" w:rsidRPr="003355B8">
        <w:rPr>
          <w:rFonts w:ascii="Times New Roman" w:hAnsi="Times New Roman" w:cs="Times New Roman"/>
          <w:color w:val="auto"/>
          <w:sz w:val="20"/>
          <w:szCs w:val="24"/>
          <w:lang w:val="en-GB" w:eastAsia="de-DE"/>
        </w:rPr>
        <w:t>Fig. 5 illustrates where the Pareto-optimal policies</w:t>
      </w:r>
      <w:r w:rsidR="00040436" w:rsidRPr="003355B8">
        <w:rPr>
          <w:rFonts w:ascii="Times New Roman" w:hAnsi="Times New Roman" w:cs="Times New Roman"/>
          <w:color w:val="auto"/>
          <w:sz w:val="20"/>
          <w:szCs w:val="24"/>
          <w:lang w:val="en-GB" w:eastAsia="de-DE"/>
        </w:rPr>
        <w:t xml:space="preserve"> </w:t>
      </w:r>
      <w:proofErr w:type="gramStart"/>
      <w:r w:rsidR="00787630" w:rsidRPr="003355B8">
        <w:rPr>
          <w:rFonts w:ascii="Times New Roman" w:hAnsi="Times New Roman" w:cs="Times New Roman"/>
          <w:color w:val="auto"/>
          <w:sz w:val="20"/>
          <w:szCs w:val="24"/>
          <w:lang w:val="en-GB" w:eastAsia="de-DE"/>
        </w:rPr>
        <w:t>are located in</w:t>
      </w:r>
      <w:proofErr w:type="gramEnd"/>
      <w:r w:rsidR="00787630" w:rsidRPr="003355B8">
        <w:rPr>
          <w:rFonts w:ascii="Times New Roman" w:hAnsi="Times New Roman" w:cs="Times New Roman"/>
          <w:color w:val="auto"/>
          <w:sz w:val="20"/>
          <w:szCs w:val="24"/>
          <w:lang w:val="en-GB" w:eastAsia="de-DE"/>
        </w:rPr>
        <w:t xml:space="preserve"> the policy space.</w:t>
      </w:r>
    </w:p>
    <w:p w14:paraId="4251965E" w14:textId="05983C2D" w:rsidR="00BB3BC2" w:rsidRPr="003355B8" w:rsidRDefault="004A25E8" w:rsidP="00A94940">
      <w:pPr>
        <w:tabs>
          <w:tab w:val="left" w:pos="4215"/>
        </w:tabs>
        <w:spacing w:after="120" w:line="240" w:lineRule="auto"/>
        <w:ind w:left="360" w:right="360"/>
        <w:jc w:val="both"/>
        <w:rPr>
          <w:rFonts w:ascii="Times New Roman" w:hAnsi="Times New Roman" w:cs="Times New Roman"/>
          <w:color w:val="auto"/>
          <w:sz w:val="18"/>
          <w:szCs w:val="18"/>
        </w:rPr>
      </w:pPr>
      <w:r w:rsidRPr="003355B8">
        <w:rPr>
          <w:rFonts w:ascii="Times New Roman" w:hAnsi="Times New Roman" w:cs="Times New Roman"/>
          <w:bCs/>
          <w:color w:val="auto"/>
          <w:sz w:val="18"/>
          <w:szCs w:val="18"/>
        </w:rPr>
        <w:t>Fig</w:t>
      </w:r>
      <w:r w:rsidR="00A93EA6" w:rsidRPr="003355B8">
        <w:rPr>
          <w:rFonts w:ascii="Times New Roman" w:hAnsi="Times New Roman" w:cs="Times New Roman"/>
          <w:bCs/>
          <w:color w:val="auto"/>
          <w:sz w:val="18"/>
          <w:szCs w:val="18"/>
        </w:rPr>
        <w:t>ure</w:t>
      </w:r>
      <w:r w:rsidRPr="003355B8">
        <w:rPr>
          <w:rFonts w:ascii="Times New Roman" w:hAnsi="Times New Roman" w:cs="Times New Roman"/>
          <w:bCs/>
          <w:color w:val="auto"/>
          <w:sz w:val="18"/>
          <w:szCs w:val="18"/>
        </w:rPr>
        <w:t xml:space="preserve"> 4</w:t>
      </w:r>
      <w:r w:rsidR="00A93EA6" w:rsidRPr="003355B8">
        <w:rPr>
          <w:rFonts w:ascii="Times New Roman" w:hAnsi="Times New Roman" w:cs="Times New Roman"/>
          <w:bCs/>
          <w:color w:val="auto"/>
          <w:sz w:val="18"/>
          <w:szCs w:val="18"/>
        </w:rPr>
        <w:t>:</w:t>
      </w:r>
      <w:r w:rsidRPr="003355B8">
        <w:rPr>
          <w:rFonts w:ascii="Times New Roman" w:hAnsi="Times New Roman" w:cs="Times New Roman"/>
          <w:bCs/>
          <w:color w:val="auto"/>
          <w:sz w:val="18"/>
          <w:szCs w:val="18"/>
        </w:rPr>
        <w:t xml:space="preserve"> </w:t>
      </w:r>
      <w:r w:rsidR="00687CEF" w:rsidRPr="003355B8">
        <w:rPr>
          <w:rFonts w:ascii="Times New Roman" w:hAnsi="Times New Roman" w:cs="Times New Roman"/>
          <w:color w:val="auto"/>
          <w:sz w:val="18"/>
          <w:szCs w:val="18"/>
        </w:rPr>
        <w:t>Resilience-robustness trade</w:t>
      </w:r>
      <w:r w:rsidR="00E55C94" w:rsidRPr="003355B8">
        <w:rPr>
          <w:rFonts w:ascii="Times New Roman" w:hAnsi="Times New Roman" w:cs="Times New Roman"/>
          <w:color w:val="auto"/>
          <w:sz w:val="18"/>
          <w:szCs w:val="18"/>
        </w:rPr>
        <w:t>-</w:t>
      </w:r>
      <w:r w:rsidR="00687CEF" w:rsidRPr="003355B8">
        <w:rPr>
          <w:rFonts w:ascii="Times New Roman" w:hAnsi="Times New Roman" w:cs="Times New Roman"/>
          <w:color w:val="auto"/>
          <w:sz w:val="18"/>
          <w:szCs w:val="18"/>
        </w:rPr>
        <w:t>off. Each point represents</w:t>
      </w:r>
      <w:r w:rsidRPr="003355B8">
        <w:rPr>
          <w:rFonts w:ascii="Times New Roman" w:hAnsi="Times New Roman" w:cs="Times New Roman"/>
          <w:color w:val="auto"/>
          <w:sz w:val="18"/>
          <w:szCs w:val="18"/>
        </w:rPr>
        <w:t>,</w:t>
      </w:r>
      <w:r w:rsidR="00687CEF" w:rsidRPr="003355B8">
        <w:rPr>
          <w:rFonts w:ascii="Times New Roman" w:hAnsi="Times New Roman" w:cs="Times New Roman"/>
          <w:color w:val="auto"/>
          <w:sz w:val="18"/>
          <w:szCs w:val="18"/>
        </w:rPr>
        <w:t xml:space="preserve">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r>
          <w:rPr>
            <w:rFonts w:ascii="Cambria Math" w:hAnsi="Cambria Math" w:cs="Times New Roman"/>
            <w:color w:val="auto"/>
            <w:sz w:val="18"/>
            <w:szCs w:val="18"/>
          </w:rPr>
          <m:t xml:space="preserve"> </m:t>
        </m:r>
      </m:oMath>
      <w:r w:rsidR="00687CEF" w:rsidRPr="003355B8">
        <w:rPr>
          <w:rFonts w:ascii="Times New Roman" w:hAnsi="Times New Roman" w:cs="Times New Roman"/>
          <w:color w:val="auto"/>
          <w:sz w:val="18"/>
          <w:szCs w:val="18"/>
        </w:rPr>
        <w:t>and</w:t>
      </w:r>
      <m:oMath>
        <m:r>
          <w:rPr>
            <w:rFonts w:ascii="Cambria Math" w:hAnsi="Cambria Math" w:cs="Times New Roman"/>
            <w:color w:val="auto"/>
            <w:sz w:val="18"/>
            <w:szCs w:val="18"/>
          </w:rPr>
          <m:t xml:space="preserve"> </m:t>
        </m:r>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00687CEF" w:rsidRPr="003355B8">
        <w:rPr>
          <w:rFonts w:ascii="Times New Roman" w:hAnsi="Times New Roman" w:cs="Times New Roman"/>
          <w:color w:val="auto"/>
          <w:sz w:val="18"/>
          <w:szCs w:val="18"/>
        </w:rPr>
        <w:t xml:space="preserve"> of the coupled system with a given policy</w:t>
      </w:r>
      <w:r w:rsidR="00787630" w:rsidRPr="003355B8">
        <w:rPr>
          <w:rFonts w:ascii="Times New Roman" w:hAnsi="Times New Roman" w:cs="Times New Roman"/>
          <w:color w:val="auto"/>
          <w:sz w:val="18"/>
          <w:szCs w:val="18"/>
        </w:rPr>
        <w:t>.</w:t>
      </w:r>
      <w:r w:rsidR="003809EF" w:rsidRPr="003355B8">
        <w:rPr>
          <w:rFonts w:ascii="Times New Roman" w:hAnsi="Times New Roman" w:cs="Times New Roman"/>
          <w:color w:val="auto"/>
          <w:sz w:val="18"/>
          <w:szCs w:val="18"/>
        </w:rPr>
        <w:t xml:space="preserve"> The trade-off is only apparent at the Pareto-optimal frontier.</w:t>
      </w:r>
    </w:p>
    <w:p w14:paraId="2948241B" w14:textId="3C4948EA" w:rsidR="00874674" w:rsidRPr="003355B8" w:rsidRDefault="004A25E8" w:rsidP="00D82A2F">
      <w:pPr>
        <w:spacing w:after="120" w:line="240" w:lineRule="auto"/>
        <w:jc w:val="center"/>
        <w:rPr>
          <w:rFonts w:ascii="Times New Roman" w:hAnsi="Times New Roman" w:cs="Times New Roman"/>
          <w:color w:val="auto"/>
          <w:sz w:val="18"/>
          <w:szCs w:val="18"/>
        </w:rPr>
      </w:pPr>
      <w:r w:rsidRPr="003355B8">
        <w:rPr>
          <w:rFonts w:ascii="Times New Roman" w:hAnsi="Times New Roman" w:cs="Times New Roman"/>
          <w:bCs/>
          <w:color w:val="auto"/>
          <w:sz w:val="18"/>
          <w:szCs w:val="18"/>
        </w:rPr>
        <w:t>Fig</w:t>
      </w:r>
      <w:r w:rsidR="00904CCC" w:rsidRPr="003355B8">
        <w:rPr>
          <w:rFonts w:ascii="Times New Roman" w:hAnsi="Times New Roman" w:cs="Times New Roman"/>
          <w:bCs/>
          <w:color w:val="auto"/>
          <w:sz w:val="18"/>
          <w:szCs w:val="18"/>
        </w:rPr>
        <w:t xml:space="preserve">ure </w:t>
      </w:r>
      <w:r w:rsidRPr="003355B8">
        <w:rPr>
          <w:rFonts w:ascii="Times New Roman" w:hAnsi="Times New Roman" w:cs="Times New Roman"/>
          <w:bCs/>
          <w:color w:val="auto"/>
          <w:sz w:val="18"/>
          <w:szCs w:val="18"/>
        </w:rPr>
        <w:t>5</w:t>
      </w:r>
      <w:r w:rsidR="00904CCC" w:rsidRPr="003355B8">
        <w:rPr>
          <w:rFonts w:ascii="Times New Roman" w:hAnsi="Times New Roman" w:cs="Times New Roman"/>
          <w:bCs/>
          <w:color w:val="auto"/>
          <w:sz w:val="18"/>
          <w:szCs w:val="18"/>
        </w:rPr>
        <w:t>:</w:t>
      </w:r>
      <w:r w:rsidRPr="003355B8">
        <w:rPr>
          <w:rFonts w:ascii="Times New Roman" w:hAnsi="Times New Roman" w:cs="Times New Roman"/>
          <w:color w:val="auto"/>
          <w:sz w:val="18"/>
          <w:szCs w:val="18"/>
        </w:rPr>
        <w:t xml:space="preserve"> Pareto optimal policies with </w:t>
      </w:r>
      <w:r w:rsidR="00787630" w:rsidRPr="003355B8">
        <w:rPr>
          <w:rFonts w:ascii="Times New Roman" w:hAnsi="Times New Roman" w:cs="Times New Roman"/>
          <w:color w:val="auto"/>
          <w:sz w:val="18"/>
          <w:szCs w:val="18"/>
        </w:rPr>
        <w:t xml:space="preserve">high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oMath>
      <w:r w:rsidR="00787630" w:rsidRPr="003355B8">
        <w:rPr>
          <w:rFonts w:ascii="Times New Roman" w:hAnsi="Times New Roman" w:cs="Times New Roman"/>
          <w:color w:val="auto"/>
          <w:sz w:val="18"/>
          <w:szCs w:val="18"/>
        </w:rPr>
        <w:t xml:space="preserve"> </w:t>
      </w:r>
      <w:r w:rsidRPr="003355B8">
        <w:rPr>
          <w:rFonts w:ascii="Times New Roman" w:hAnsi="Times New Roman" w:cs="Times New Roman"/>
          <w:color w:val="auto"/>
          <w:sz w:val="18"/>
          <w:szCs w:val="18"/>
        </w:rPr>
        <w:t>in the policy space (</w:t>
      </w:r>
      <m:oMath>
        <m:r>
          <w:rPr>
            <w:rFonts w:ascii="Cambria Math" w:hAnsi="Cambria Math" w:cs="Times New Roman"/>
            <w:color w:val="auto"/>
            <w:sz w:val="18"/>
            <w:szCs w:val="18"/>
          </w:rPr>
          <m:t>C</m:t>
        </m:r>
      </m:oMath>
      <w:r w:rsidRPr="003355B8">
        <w:rPr>
          <w:rFonts w:ascii="Times New Roman" w:hAnsi="Times New Roman" w:cs="Times New Roman"/>
          <w:color w:val="auto"/>
          <w:sz w:val="18"/>
          <w:szCs w:val="18"/>
        </w:rPr>
        <w:t>-</w:t>
      </w:r>
      <m:oMath>
        <m:r>
          <w:rPr>
            <w:rFonts w:ascii="Cambria Math" w:hAnsi="Cambria Math" w:cs="Times New Roman"/>
            <w:color w:val="auto"/>
            <w:sz w:val="18"/>
            <w:szCs w:val="18"/>
          </w:rPr>
          <m:t>y</m:t>
        </m:r>
      </m:oMath>
      <w:r w:rsidRPr="003355B8">
        <w:rPr>
          <w:rFonts w:ascii="Times New Roman" w:hAnsi="Times New Roman" w:cs="Times New Roman"/>
          <w:color w:val="auto"/>
          <w:sz w:val="18"/>
          <w:szCs w:val="18"/>
        </w:rPr>
        <w:t xml:space="preserve"> plane)</w:t>
      </w:r>
      <w:r w:rsidR="00787630" w:rsidRPr="003355B8">
        <w:rPr>
          <w:rFonts w:ascii="Times New Roman" w:hAnsi="Times New Roman" w:cs="Times New Roman"/>
          <w:color w:val="auto"/>
          <w:sz w:val="18"/>
          <w:szCs w:val="18"/>
        </w:rPr>
        <w:t xml:space="preserve">, superimposed with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oMath>
      <w:r w:rsidR="00787630" w:rsidRPr="003355B8">
        <w:rPr>
          <w:rFonts w:ascii="Times New Roman" w:hAnsi="Times New Roman" w:cs="Times New Roman"/>
          <w:color w:val="auto"/>
          <w:sz w:val="18"/>
          <w:szCs w:val="18"/>
        </w:rPr>
        <w:t xml:space="preserve"> contours (a) and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00787630" w:rsidRPr="003355B8">
        <w:rPr>
          <w:rFonts w:ascii="Times New Roman" w:hAnsi="Times New Roman" w:cs="Times New Roman"/>
          <w:color w:val="auto"/>
          <w:sz w:val="18"/>
          <w:szCs w:val="18"/>
        </w:rPr>
        <w:t xml:space="preserve"> contours (b)</w:t>
      </w:r>
      <w:r w:rsidRPr="003355B8">
        <w:rPr>
          <w:rFonts w:ascii="Times New Roman" w:hAnsi="Times New Roman" w:cs="Times New Roman"/>
          <w:color w:val="auto"/>
          <w:sz w:val="18"/>
          <w:szCs w:val="18"/>
        </w:rPr>
        <w:t>.</w:t>
      </w:r>
    </w:p>
    <w:p w14:paraId="3A578844" w14:textId="77777777" w:rsidR="004A25E8" w:rsidRPr="003355B8" w:rsidRDefault="004A25E8" w:rsidP="00CA4502">
      <w:pPr>
        <w:pStyle w:val="Heading1"/>
        <w:keepLines w:val="0"/>
        <w:numPr>
          <w:ilvl w:val="0"/>
          <w:numId w:val="31"/>
        </w:numPr>
        <w:spacing w:after="240" w:line="240" w:lineRule="auto"/>
        <w:ind w:left="180" w:hanging="180"/>
        <w:jc w:val="both"/>
        <w:rPr>
          <w:rFonts w:ascii="Times New Roman" w:hAnsi="Times New Roman" w:cs="Arial"/>
          <w:bCs/>
          <w:color w:val="auto"/>
          <w:kern w:val="32"/>
          <w:sz w:val="20"/>
          <w:szCs w:val="32"/>
          <w:lang w:val="en-GB" w:eastAsia="de-DE"/>
        </w:rPr>
      </w:pPr>
      <w:bookmarkStart w:id="12" w:name="_ehje875my2wm" w:colFirst="0" w:colLast="0"/>
      <w:bookmarkEnd w:id="12"/>
      <w:r w:rsidRPr="003355B8">
        <w:rPr>
          <w:rFonts w:ascii="Times New Roman" w:hAnsi="Times New Roman" w:cs="Arial"/>
          <w:bCs/>
          <w:color w:val="auto"/>
          <w:kern w:val="32"/>
          <w:sz w:val="20"/>
          <w:szCs w:val="32"/>
          <w:lang w:val="en-GB" w:eastAsia="de-DE"/>
        </w:rPr>
        <w:t>Discussion and conclusion</w:t>
      </w:r>
      <w:r w:rsidR="00787630" w:rsidRPr="003355B8">
        <w:rPr>
          <w:rFonts w:ascii="Times New Roman" w:hAnsi="Times New Roman" w:cs="Arial"/>
          <w:bCs/>
          <w:color w:val="auto"/>
          <w:kern w:val="32"/>
          <w:sz w:val="20"/>
          <w:szCs w:val="32"/>
          <w:lang w:val="en-GB" w:eastAsia="de-DE"/>
        </w:rPr>
        <w:t>s</w:t>
      </w:r>
    </w:p>
    <w:p w14:paraId="4B1376D0" w14:textId="05213194" w:rsidR="00F10FB3" w:rsidRPr="003355B8" w:rsidRDefault="00687CEF" w:rsidP="00F211D8">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In this paper, we exploit the simplicity of </w:t>
      </w:r>
      <w:r w:rsidR="003809EF" w:rsidRPr="003355B8">
        <w:rPr>
          <w:rFonts w:ascii="Times New Roman" w:hAnsi="Times New Roman" w:cs="Times New Roman"/>
          <w:color w:val="auto"/>
          <w:sz w:val="20"/>
          <w:szCs w:val="24"/>
          <w:lang w:val="en-GB" w:eastAsia="de-DE"/>
        </w:rPr>
        <w:t>a</w:t>
      </w:r>
      <w:r w:rsidRPr="003355B8">
        <w:rPr>
          <w:rFonts w:ascii="Times New Roman" w:hAnsi="Times New Roman" w:cs="Times New Roman"/>
          <w:color w:val="auto"/>
          <w:sz w:val="20"/>
          <w:szCs w:val="24"/>
          <w:lang w:val="en-GB" w:eastAsia="de-DE"/>
        </w:rPr>
        <w:t xml:space="preserve"> stylized model to quantitatively </w:t>
      </w:r>
      <w:r w:rsidR="003809EF" w:rsidRPr="003355B8">
        <w:rPr>
          <w:rFonts w:ascii="Times New Roman" w:hAnsi="Times New Roman" w:cs="Times New Roman"/>
          <w:color w:val="auto"/>
          <w:sz w:val="20"/>
          <w:szCs w:val="24"/>
          <w:lang w:val="en-GB" w:eastAsia="de-DE"/>
        </w:rPr>
        <w:t>link</w:t>
      </w:r>
      <w:r w:rsidR="006A7C12" w:rsidRPr="003355B8">
        <w:rPr>
          <w:rFonts w:ascii="Times New Roman" w:hAnsi="Times New Roman" w:cs="Times New Roman"/>
          <w:color w:val="auto"/>
          <w:sz w:val="20"/>
          <w:szCs w:val="24"/>
          <w:lang w:val="en-GB" w:eastAsia="de-DE"/>
        </w:rPr>
        <w:t xml:space="preserve"> </w:t>
      </w:r>
      <w:r w:rsidRPr="003355B8">
        <w:rPr>
          <w:rFonts w:ascii="Times New Roman" w:hAnsi="Times New Roman" w:cs="Times New Roman"/>
          <w:color w:val="auto"/>
          <w:sz w:val="20"/>
          <w:szCs w:val="24"/>
          <w:lang w:val="en-GB" w:eastAsia="de-DE"/>
        </w:rPr>
        <w:t xml:space="preserve">resilience and </w:t>
      </w:r>
      <w:r w:rsidR="003809EF" w:rsidRPr="003355B8">
        <w:rPr>
          <w:rFonts w:ascii="Times New Roman" w:hAnsi="Times New Roman" w:cs="Times New Roman"/>
          <w:color w:val="auto"/>
          <w:sz w:val="20"/>
          <w:szCs w:val="24"/>
          <w:lang w:val="en-GB" w:eastAsia="de-DE"/>
        </w:rPr>
        <w:t xml:space="preserve">robustness by computing how the CIS’s resilience to shocks in state variables changes with parameters. In this way, we compute the robustness of CIS resilience to uncertainty in </w:t>
      </w:r>
      <w:r w:rsidR="00BE3045" w:rsidRPr="003355B8">
        <w:rPr>
          <w:rFonts w:ascii="Times New Roman" w:hAnsi="Times New Roman" w:cs="Times New Roman"/>
          <w:color w:val="auto"/>
          <w:sz w:val="20"/>
          <w:szCs w:val="24"/>
          <w:lang w:val="en-GB" w:eastAsia="de-DE"/>
        </w:rPr>
        <w:t xml:space="preserve">the </w:t>
      </w:r>
      <w:r w:rsidR="003809EF" w:rsidRPr="003355B8">
        <w:rPr>
          <w:rFonts w:ascii="Times New Roman" w:hAnsi="Times New Roman" w:cs="Times New Roman"/>
          <w:color w:val="auto"/>
          <w:sz w:val="20"/>
          <w:szCs w:val="24"/>
          <w:lang w:val="en-GB" w:eastAsia="de-DE"/>
        </w:rPr>
        <w:t xml:space="preserve">underlying CIS </w:t>
      </w:r>
      <w:r w:rsidR="00BE3045" w:rsidRPr="003355B8">
        <w:rPr>
          <w:rFonts w:ascii="Times New Roman" w:hAnsi="Times New Roman" w:cs="Times New Roman"/>
          <w:color w:val="auto"/>
          <w:sz w:val="20"/>
          <w:szCs w:val="24"/>
          <w:lang w:val="en-GB" w:eastAsia="de-DE"/>
        </w:rPr>
        <w:t>setting</w:t>
      </w:r>
      <w:r w:rsidRPr="003355B8">
        <w:rPr>
          <w:rFonts w:ascii="Times New Roman" w:hAnsi="Times New Roman" w:cs="Times New Roman"/>
          <w:color w:val="auto"/>
          <w:sz w:val="20"/>
          <w:szCs w:val="24"/>
          <w:lang w:val="en-GB" w:eastAsia="de-DE"/>
        </w:rPr>
        <w:t xml:space="preserve">. </w:t>
      </w:r>
      <w:r w:rsidR="002A588B" w:rsidRPr="003355B8">
        <w:rPr>
          <w:rFonts w:ascii="Times New Roman" w:hAnsi="Times New Roman" w:cs="Times New Roman"/>
          <w:color w:val="auto"/>
          <w:sz w:val="20"/>
          <w:szCs w:val="24"/>
          <w:lang w:val="en-GB" w:eastAsia="de-DE"/>
        </w:rPr>
        <w:t xml:space="preserve">The resilience metric developed here </w:t>
      </w:r>
      <w:r w:rsidR="002F3865" w:rsidRPr="003355B8">
        <w:rPr>
          <w:rFonts w:ascii="Times New Roman" w:hAnsi="Times New Roman" w:cs="Times New Roman"/>
          <w:color w:val="auto"/>
          <w:sz w:val="20"/>
          <w:szCs w:val="24"/>
          <w:lang w:val="en-GB" w:eastAsia="de-DE"/>
        </w:rPr>
        <w:t xml:space="preserve">is a measure of how far the CIS is from the boundaries beyond which it will collapse. The model affords us with expressions of these boundaries, which clearly show how social and biophysical factors interplay to define these boundaries. With a concrete definition of resilience, resilience itself can be considered as the “of what” in the “robustness of what to what” notion. </w:t>
      </w:r>
      <w:proofErr w:type="gramStart"/>
      <w:r w:rsidR="002F3865" w:rsidRPr="003355B8">
        <w:rPr>
          <w:rFonts w:ascii="Times New Roman" w:hAnsi="Times New Roman" w:cs="Times New Roman"/>
          <w:color w:val="auto"/>
          <w:sz w:val="20"/>
          <w:szCs w:val="24"/>
          <w:lang w:val="en-GB" w:eastAsia="de-DE"/>
        </w:rPr>
        <w:t>In particular, we</w:t>
      </w:r>
      <w:proofErr w:type="gramEnd"/>
      <w:r w:rsidR="002F3865" w:rsidRPr="003355B8">
        <w:rPr>
          <w:rFonts w:ascii="Times New Roman" w:hAnsi="Times New Roman" w:cs="Times New Roman"/>
          <w:color w:val="auto"/>
          <w:sz w:val="20"/>
          <w:szCs w:val="24"/>
          <w:lang w:val="en-GB" w:eastAsia="de-DE"/>
        </w:rPr>
        <w:t xml:space="preserve"> use the standard deviation of the quantitatively defined resilience metric as the metric </w:t>
      </w:r>
      <w:r w:rsidR="002F3865" w:rsidRPr="003355B8">
        <w:rPr>
          <w:rFonts w:ascii="Times New Roman" w:hAnsi="Times New Roman" w:cs="Times New Roman"/>
          <w:color w:val="auto"/>
          <w:sz w:val="20"/>
          <w:szCs w:val="24"/>
          <w:lang w:val="en-GB" w:eastAsia="de-DE"/>
        </w:rPr>
        <w:lastRenderedPageBreak/>
        <w:t>of robustness (low standard deviation means high robustness). Consequently, t</w:t>
      </w:r>
      <w:r w:rsidRPr="003355B8">
        <w:rPr>
          <w:rFonts w:ascii="Times New Roman" w:hAnsi="Times New Roman" w:cs="Times New Roman"/>
          <w:color w:val="auto"/>
          <w:sz w:val="20"/>
          <w:szCs w:val="24"/>
          <w:lang w:val="en-GB" w:eastAsia="de-DE"/>
        </w:rPr>
        <w:t xml:space="preserve">his enables us to rigorously investigate the interplay between the two important, but not always well-defined, system properties. </w:t>
      </w:r>
      <w:r w:rsidR="00607102" w:rsidRPr="003355B8">
        <w:rPr>
          <w:rFonts w:ascii="Times New Roman" w:hAnsi="Times New Roman" w:cs="Times New Roman"/>
          <w:color w:val="auto"/>
          <w:sz w:val="20"/>
          <w:szCs w:val="24"/>
          <w:lang w:val="en-GB" w:eastAsia="de-DE"/>
        </w:rPr>
        <w:t>A</w:t>
      </w:r>
      <w:r w:rsidR="00F10FB3" w:rsidRPr="003355B8">
        <w:rPr>
          <w:rFonts w:ascii="Times New Roman" w:hAnsi="Times New Roman" w:cs="Times New Roman"/>
          <w:color w:val="auto"/>
          <w:sz w:val="20"/>
          <w:szCs w:val="24"/>
          <w:lang w:val="en-GB" w:eastAsia="de-DE"/>
        </w:rPr>
        <w:t xml:space="preserve"> key finding is the fundamental trade</w:t>
      </w:r>
      <w:r w:rsidR="006A7C12" w:rsidRPr="003355B8">
        <w:rPr>
          <w:rFonts w:ascii="Times New Roman" w:hAnsi="Times New Roman" w:cs="Times New Roman"/>
          <w:color w:val="auto"/>
          <w:sz w:val="20"/>
          <w:szCs w:val="24"/>
          <w:lang w:val="en-GB" w:eastAsia="de-DE"/>
        </w:rPr>
        <w:t>-</w:t>
      </w:r>
      <w:r w:rsidR="00F10FB3" w:rsidRPr="003355B8">
        <w:rPr>
          <w:rFonts w:ascii="Times New Roman" w:hAnsi="Times New Roman" w:cs="Times New Roman"/>
          <w:color w:val="auto"/>
          <w:sz w:val="20"/>
          <w:szCs w:val="24"/>
          <w:lang w:val="en-GB" w:eastAsia="de-DE"/>
        </w:rPr>
        <w:t>off between resilience and robustness: there are no perfect policies in governing a CIS, only Pareto-optimal ones.</w:t>
      </w:r>
      <w:r w:rsidR="003809EF" w:rsidRPr="003355B8">
        <w:rPr>
          <w:rFonts w:ascii="Times New Roman" w:hAnsi="Times New Roman" w:cs="Times New Roman"/>
          <w:color w:val="auto"/>
          <w:sz w:val="20"/>
          <w:szCs w:val="24"/>
          <w:lang w:val="en-GB" w:eastAsia="de-DE"/>
        </w:rPr>
        <w:t xml:space="preserve"> Specifically, policies designed to maximize the resilience of a CIS to shocks on timescales </w:t>
      </w:r>
      <w:r w:rsidR="00CD38B9" w:rsidRPr="003355B8">
        <w:rPr>
          <w:rFonts w:ascii="Times New Roman" w:hAnsi="Times New Roman" w:cs="Times New Roman"/>
          <w:color w:val="auto"/>
          <w:sz w:val="20"/>
          <w:szCs w:val="24"/>
          <w:lang w:val="en-GB" w:eastAsia="de-DE"/>
        </w:rPr>
        <w:t>at</w:t>
      </w:r>
      <w:r w:rsidR="003809EF" w:rsidRPr="003355B8">
        <w:rPr>
          <w:rFonts w:ascii="Times New Roman" w:hAnsi="Times New Roman" w:cs="Times New Roman"/>
          <w:color w:val="auto"/>
          <w:sz w:val="20"/>
          <w:szCs w:val="24"/>
          <w:lang w:val="en-GB" w:eastAsia="de-DE"/>
        </w:rPr>
        <w:t xml:space="preserve"> which the state variables play out may be very sensitive to being wrong about our understanding of the underlying dynamics of the CIS in question. </w:t>
      </w:r>
    </w:p>
    <w:p w14:paraId="44C1E8CC" w14:textId="65C85D9D" w:rsidR="00607102" w:rsidRPr="003355B8" w:rsidRDefault="00607102" w:rsidP="00F211D8">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Importantly, we hope this work </w:t>
      </w:r>
      <w:r w:rsidR="003809EF" w:rsidRPr="003355B8">
        <w:rPr>
          <w:rFonts w:ascii="Times New Roman" w:hAnsi="Times New Roman" w:cs="Times New Roman"/>
          <w:color w:val="auto"/>
          <w:sz w:val="20"/>
          <w:szCs w:val="24"/>
          <w:lang w:val="en-GB" w:eastAsia="de-DE"/>
        </w:rPr>
        <w:t xml:space="preserve">will </w:t>
      </w:r>
      <w:r w:rsidRPr="003355B8">
        <w:rPr>
          <w:rFonts w:ascii="Times New Roman" w:hAnsi="Times New Roman" w:cs="Times New Roman"/>
          <w:color w:val="auto"/>
          <w:sz w:val="20"/>
          <w:szCs w:val="24"/>
          <w:lang w:val="en-GB" w:eastAsia="de-DE"/>
        </w:rPr>
        <w:t>stimulate further advances in rigorous studies of CISs</w:t>
      </w:r>
      <w:r w:rsidR="003809EF" w:rsidRPr="003355B8">
        <w:rPr>
          <w:rFonts w:ascii="Times New Roman" w:hAnsi="Times New Roman" w:cs="Times New Roman"/>
          <w:color w:val="auto"/>
          <w:sz w:val="20"/>
          <w:szCs w:val="24"/>
          <w:lang w:val="en-GB" w:eastAsia="de-DE"/>
        </w:rPr>
        <w:t xml:space="preserve"> that address such subtle, policy-relevant questions</w:t>
      </w:r>
      <w:r w:rsidRPr="003355B8">
        <w:rPr>
          <w:rFonts w:ascii="Times New Roman" w:hAnsi="Times New Roman" w:cs="Times New Roman"/>
          <w:color w:val="auto"/>
          <w:sz w:val="20"/>
          <w:szCs w:val="24"/>
          <w:lang w:val="en-GB" w:eastAsia="de-DE"/>
        </w:rPr>
        <w:t>,</w:t>
      </w:r>
      <w:r w:rsidR="003809EF" w:rsidRPr="003355B8">
        <w:rPr>
          <w:rFonts w:ascii="Times New Roman" w:hAnsi="Times New Roman" w:cs="Times New Roman"/>
          <w:color w:val="auto"/>
          <w:sz w:val="20"/>
          <w:szCs w:val="24"/>
          <w:lang w:val="en-GB" w:eastAsia="de-DE"/>
        </w:rPr>
        <w:t xml:space="preserve"> </w:t>
      </w:r>
      <w:r w:rsidRPr="003355B8">
        <w:rPr>
          <w:rFonts w:ascii="Times New Roman" w:hAnsi="Times New Roman" w:cs="Times New Roman"/>
          <w:color w:val="auto"/>
          <w:sz w:val="20"/>
          <w:szCs w:val="24"/>
          <w:lang w:val="en-GB" w:eastAsia="de-DE"/>
        </w:rPr>
        <w:t>a few of which we briefly discuss here.</w:t>
      </w:r>
      <w:r w:rsidR="00A10D81" w:rsidRPr="003355B8">
        <w:rPr>
          <w:rFonts w:ascii="Times New Roman" w:hAnsi="Times New Roman" w:cs="Times New Roman"/>
          <w:color w:val="auto"/>
          <w:sz w:val="20"/>
          <w:szCs w:val="24"/>
          <w:lang w:val="en-GB" w:eastAsia="de-DE"/>
        </w:rPr>
        <w:t xml:space="preserve"> </w:t>
      </w:r>
      <w:r w:rsidRPr="003355B8">
        <w:rPr>
          <w:rFonts w:ascii="Times New Roman" w:hAnsi="Times New Roman" w:cs="Times New Roman"/>
          <w:color w:val="auto"/>
          <w:sz w:val="20"/>
          <w:szCs w:val="24"/>
          <w:lang w:val="en-GB" w:eastAsia="de-DE"/>
        </w:rPr>
        <w:t>More dimensions can be considered in defining Pareto-optimality. Fig</w:t>
      </w:r>
      <w:r w:rsidR="00EB027A" w:rsidRPr="003355B8">
        <w:rPr>
          <w:rFonts w:ascii="Times New Roman" w:hAnsi="Times New Roman" w:cs="Times New Roman"/>
          <w:color w:val="auto"/>
          <w:sz w:val="20"/>
          <w:szCs w:val="24"/>
          <w:lang w:val="en-GB" w:eastAsia="de-DE"/>
        </w:rPr>
        <w:t>ure</w:t>
      </w:r>
      <w:r w:rsidRPr="003355B8">
        <w:rPr>
          <w:rFonts w:ascii="Times New Roman" w:hAnsi="Times New Roman" w:cs="Times New Roman"/>
          <w:color w:val="auto"/>
          <w:sz w:val="20"/>
          <w:szCs w:val="24"/>
          <w:lang w:val="en-GB" w:eastAsia="de-DE"/>
        </w:rPr>
        <w:t xml:space="preserve"> 5 may give an impression that the set of Pareto-optimal policies is confined to a sma</w:t>
      </w:r>
      <w:r w:rsidR="00E17784" w:rsidRPr="003355B8">
        <w:rPr>
          <w:rFonts w:ascii="Times New Roman" w:hAnsi="Times New Roman" w:cs="Times New Roman"/>
          <w:color w:val="auto"/>
          <w:sz w:val="20"/>
          <w:szCs w:val="24"/>
          <w:lang w:val="en-GB" w:eastAsia="de-DE"/>
        </w:rPr>
        <w:t>ll region in the policy space, which would imply</w:t>
      </w:r>
      <w:r w:rsidR="00F745E5" w:rsidRPr="003355B8">
        <w:rPr>
          <w:rFonts w:ascii="Times New Roman" w:hAnsi="Times New Roman" w:cs="Times New Roman"/>
          <w:color w:val="auto"/>
          <w:sz w:val="20"/>
          <w:szCs w:val="24"/>
          <w:lang w:val="en-GB" w:eastAsia="de-DE"/>
        </w:rPr>
        <w:t xml:space="preserve"> that PIPs do not have that many choices—even in a simple CIS like the one studied. But that would be a wrong impression. </w:t>
      </w:r>
      <w:r w:rsidR="00E17784" w:rsidRPr="003355B8">
        <w:rPr>
          <w:rFonts w:ascii="Times New Roman" w:hAnsi="Times New Roman" w:cs="Times New Roman"/>
          <w:color w:val="auto"/>
          <w:sz w:val="20"/>
          <w:szCs w:val="24"/>
          <w:lang w:val="en-GB" w:eastAsia="de-DE"/>
        </w:rPr>
        <w:t>In addition to resilience and robustness (as defined here), a policy maker or a social planner may be interested in other types of robustness with different “of what” and “to what” components. She may also be concerned about other system properties, e.g., productivity, user participation, etc. As more dimensions are considered, the set of Pareto-optimal policies grow.</w:t>
      </w:r>
      <w:r w:rsidR="00DE09E2" w:rsidRPr="003355B8">
        <w:rPr>
          <w:rFonts w:ascii="Times New Roman" w:hAnsi="Times New Roman" w:cs="Times New Roman"/>
          <w:color w:val="auto"/>
          <w:sz w:val="20"/>
          <w:szCs w:val="24"/>
          <w:lang w:val="en-GB" w:eastAsia="de-DE"/>
        </w:rPr>
        <w:t xml:space="preserve"> In the same spirit as that of the work done here, these other dimensions should be defined rigorously.</w:t>
      </w:r>
    </w:p>
    <w:p w14:paraId="2D4D406A" w14:textId="1D1A08F0" w:rsidR="00610642" w:rsidRPr="003355B8" w:rsidRDefault="00610642" w:rsidP="002E16A5">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This work also lends itself to more rigorous studies of “adaptive governance.” In the present study, the governance structure, represented by a policy (a combination of </w:t>
      </w:r>
      <m:oMath>
        <m:r>
          <w:rPr>
            <w:rFonts w:ascii="Cambria Math" w:hAnsi="Cambria Math" w:cs="Times New Roman"/>
            <w:color w:val="auto"/>
            <w:sz w:val="20"/>
            <w:szCs w:val="24"/>
            <w:lang w:val="en-GB" w:eastAsia="de-DE"/>
          </w:rPr>
          <m:t>C</m:t>
        </m:r>
      </m:oMath>
      <w:r w:rsidRPr="003355B8">
        <w:rPr>
          <w:rFonts w:ascii="Times New Roman" w:hAnsi="Times New Roman" w:cs="Times New Roman"/>
          <w:color w:val="auto"/>
          <w:sz w:val="20"/>
          <w:szCs w:val="24"/>
          <w:lang w:val="en-GB" w:eastAsia="de-DE"/>
        </w:rPr>
        <w:t xml:space="preserve"> and </w:t>
      </w:r>
      <m:oMath>
        <m:r>
          <w:rPr>
            <w:rFonts w:ascii="Cambria Math" w:hAnsi="Cambria Math" w:cs="Times New Roman"/>
            <w:color w:val="auto"/>
            <w:sz w:val="20"/>
            <w:szCs w:val="24"/>
            <w:lang w:val="en-GB" w:eastAsia="de-DE"/>
          </w:rPr>
          <m:t>y</m:t>
        </m:r>
      </m:oMath>
      <w:r w:rsidRPr="003355B8">
        <w:rPr>
          <w:rFonts w:ascii="Times New Roman" w:hAnsi="Times New Roman" w:cs="Times New Roman"/>
          <w:color w:val="auto"/>
          <w:sz w:val="20"/>
          <w:szCs w:val="24"/>
          <w:lang w:val="en-GB" w:eastAsia="de-DE"/>
        </w:rPr>
        <w:t xml:space="preserve">), is fixed. A natural next step is to explore if a policy </w:t>
      </w:r>
      <w:proofErr w:type="gramStart"/>
      <w:r w:rsidRPr="003355B8">
        <w:rPr>
          <w:rFonts w:ascii="Times New Roman" w:hAnsi="Times New Roman" w:cs="Times New Roman"/>
          <w:color w:val="auto"/>
          <w:sz w:val="20"/>
          <w:szCs w:val="24"/>
          <w:lang w:val="en-GB" w:eastAsia="de-DE"/>
        </w:rPr>
        <w:t>is allowed to</w:t>
      </w:r>
      <w:proofErr w:type="gramEnd"/>
      <w:r w:rsidRPr="003355B8">
        <w:rPr>
          <w:rFonts w:ascii="Times New Roman" w:hAnsi="Times New Roman" w:cs="Times New Roman"/>
          <w:color w:val="auto"/>
          <w:sz w:val="20"/>
          <w:szCs w:val="24"/>
          <w:lang w:val="en-GB" w:eastAsia="de-DE"/>
        </w:rPr>
        <w:t xml:space="preserve"> change, how one may improve the resilience and robustness of a CIS and/or alter the nature of their </w:t>
      </w:r>
      <w:r w:rsidR="00534776" w:rsidRPr="003355B8">
        <w:rPr>
          <w:rFonts w:ascii="Times New Roman" w:hAnsi="Times New Roman" w:cs="Times New Roman"/>
          <w:color w:val="auto"/>
          <w:sz w:val="20"/>
          <w:szCs w:val="24"/>
          <w:lang w:val="en-GB" w:eastAsia="de-DE"/>
        </w:rPr>
        <w:t xml:space="preserve">inherent </w:t>
      </w:r>
      <w:r w:rsidRPr="003355B8">
        <w:rPr>
          <w:rFonts w:ascii="Times New Roman" w:hAnsi="Times New Roman" w:cs="Times New Roman"/>
          <w:color w:val="auto"/>
          <w:sz w:val="20"/>
          <w:szCs w:val="24"/>
          <w:lang w:val="en-GB" w:eastAsia="de-DE"/>
        </w:rPr>
        <w:t>trade</w:t>
      </w:r>
      <w:r w:rsidR="00534776"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20"/>
          <w:szCs w:val="24"/>
          <w:lang w:val="en-GB" w:eastAsia="de-DE"/>
        </w:rPr>
        <w:t>off</w:t>
      </w:r>
      <w:r w:rsidR="00534776" w:rsidRPr="003355B8">
        <w:rPr>
          <w:rFonts w:ascii="Times New Roman" w:hAnsi="Times New Roman" w:cs="Times New Roman"/>
          <w:color w:val="auto"/>
          <w:sz w:val="20"/>
          <w:szCs w:val="24"/>
          <w:lang w:val="en-GB" w:eastAsia="de-DE"/>
        </w:rPr>
        <w:t>s</w:t>
      </w:r>
      <w:r w:rsidRPr="003355B8">
        <w:rPr>
          <w:rFonts w:ascii="Times New Roman" w:hAnsi="Times New Roman" w:cs="Times New Roman"/>
          <w:color w:val="auto"/>
          <w:sz w:val="20"/>
          <w:szCs w:val="24"/>
          <w:lang w:val="en-GB" w:eastAsia="de-DE"/>
        </w:rPr>
        <w:t xml:space="preserve">.  For example, if </w:t>
      </w:r>
      <m:oMath>
        <m:r>
          <w:rPr>
            <w:rFonts w:ascii="Cambria Math" w:hAnsi="Cambria Math" w:cs="Times New Roman"/>
            <w:color w:val="auto"/>
            <w:sz w:val="20"/>
            <w:szCs w:val="24"/>
            <w:lang w:val="en-GB" w:eastAsia="de-DE"/>
          </w:rPr>
          <m:t>C</m:t>
        </m:r>
      </m:oMath>
      <w:r w:rsidRPr="003355B8">
        <w:rPr>
          <w:rFonts w:ascii="Times New Roman" w:hAnsi="Times New Roman" w:cs="Times New Roman"/>
          <w:color w:val="auto"/>
          <w:sz w:val="20"/>
          <w:szCs w:val="24"/>
          <w:lang w:val="en-GB" w:eastAsia="de-DE"/>
        </w:rPr>
        <w:t xml:space="preserve"> and </w:t>
      </w:r>
      <m:oMath>
        <m:r>
          <w:rPr>
            <w:rFonts w:ascii="Cambria Math" w:hAnsi="Cambria Math" w:cs="Times New Roman"/>
            <w:color w:val="auto"/>
            <w:sz w:val="20"/>
            <w:szCs w:val="24"/>
            <w:lang w:val="en-GB" w:eastAsia="de-DE"/>
          </w:rPr>
          <m:t>y</m:t>
        </m:r>
      </m:oMath>
      <w:r w:rsidRPr="003355B8">
        <w:rPr>
          <w:rFonts w:ascii="Times New Roman" w:hAnsi="Times New Roman" w:cs="Times New Roman"/>
          <w:color w:val="auto"/>
          <w:sz w:val="20"/>
          <w:szCs w:val="24"/>
          <w:lang w:val="en-GB" w:eastAsia="de-DE"/>
        </w:rPr>
        <w:t xml:space="preserve"> are to be functions of other factors, e.g., resource availability and outside incentives, what functional forms s</w:t>
      </w:r>
      <w:proofErr w:type="spellStart"/>
      <w:r w:rsidRPr="003355B8">
        <w:rPr>
          <w:rFonts w:ascii="Times New Roman" w:hAnsi="Times New Roman" w:cs="Times New Roman"/>
          <w:color w:val="auto"/>
          <w:sz w:val="20"/>
          <w:szCs w:val="24"/>
          <w:lang w:val="en-GB" w:eastAsia="de-DE"/>
        </w:rPr>
        <w:t>hould</w:t>
      </w:r>
      <w:proofErr w:type="spellEnd"/>
      <w:r w:rsidRPr="003355B8">
        <w:rPr>
          <w:rFonts w:ascii="Times New Roman" w:hAnsi="Times New Roman" w:cs="Times New Roman"/>
          <w:color w:val="auto"/>
          <w:sz w:val="20"/>
          <w:szCs w:val="24"/>
          <w:lang w:val="en-GB" w:eastAsia="de-DE"/>
        </w:rPr>
        <w:t xml:space="preserve"> they take to improve the system’s resilience and robustness?</w:t>
      </w:r>
      <w:r w:rsidR="00CB0046" w:rsidRPr="003355B8">
        <w:rPr>
          <w:rFonts w:ascii="Times New Roman" w:hAnsi="Times New Roman" w:cs="Times New Roman"/>
          <w:color w:val="auto"/>
          <w:sz w:val="20"/>
          <w:szCs w:val="24"/>
          <w:lang w:val="en-GB" w:eastAsia="de-DE"/>
        </w:rPr>
        <w:t xml:space="preserve"> Indeed, in the absence of transparent metrics, attempts to explore such adaptive policies will be severely limited.</w:t>
      </w:r>
    </w:p>
    <w:p w14:paraId="2799EBE0" w14:textId="1A2D5F55" w:rsidR="004A25E8" w:rsidRPr="003355B8" w:rsidRDefault="000E7200" w:rsidP="00F211D8">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In keeping with the theme of “social dynamics </w:t>
      </w:r>
      <w:r w:rsidR="00A10D81" w:rsidRPr="003355B8">
        <w:rPr>
          <w:rFonts w:ascii="Times New Roman" w:hAnsi="Times New Roman" w:cs="Times New Roman"/>
          <w:color w:val="auto"/>
          <w:sz w:val="20"/>
          <w:szCs w:val="24"/>
          <w:lang w:val="en-GB" w:eastAsia="de-DE"/>
        </w:rPr>
        <w:t xml:space="preserve">and planetary boundaries in Earth system modelling,” </w:t>
      </w:r>
      <w:r w:rsidR="003D7486" w:rsidRPr="003355B8">
        <w:rPr>
          <w:rFonts w:ascii="Times New Roman" w:hAnsi="Times New Roman" w:cs="Times New Roman"/>
          <w:color w:val="auto"/>
          <w:sz w:val="20"/>
          <w:szCs w:val="24"/>
          <w:lang w:val="en-GB" w:eastAsia="de-DE"/>
        </w:rPr>
        <w:t xml:space="preserve">our </w:t>
      </w:r>
      <w:r w:rsidR="00787630" w:rsidRPr="003355B8">
        <w:rPr>
          <w:rFonts w:ascii="Times New Roman" w:hAnsi="Times New Roman" w:cs="Times New Roman"/>
          <w:color w:val="auto"/>
          <w:sz w:val="20"/>
          <w:szCs w:val="24"/>
          <w:lang w:val="en-GB" w:eastAsia="de-DE"/>
        </w:rPr>
        <w:t>results shed</w:t>
      </w:r>
      <w:r w:rsidR="00687CEF" w:rsidRPr="003355B8">
        <w:rPr>
          <w:rFonts w:ascii="Times New Roman" w:hAnsi="Times New Roman" w:cs="Times New Roman"/>
          <w:color w:val="auto"/>
          <w:sz w:val="20"/>
          <w:szCs w:val="24"/>
          <w:lang w:val="en-GB" w:eastAsia="de-DE"/>
        </w:rPr>
        <w:t xml:space="preserve"> light on how social and biophysical factors may interplay to define “boundaries” of a sustainable </w:t>
      </w:r>
      <w:r w:rsidR="00A10D81" w:rsidRPr="003355B8">
        <w:rPr>
          <w:rFonts w:ascii="Times New Roman" w:hAnsi="Times New Roman" w:cs="Times New Roman"/>
          <w:color w:val="auto"/>
          <w:sz w:val="20"/>
          <w:szCs w:val="24"/>
          <w:lang w:val="en-GB" w:eastAsia="de-DE"/>
        </w:rPr>
        <w:t xml:space="preserve">coupled </w:t>
      </w:r>
      <w:r w:rsidR="003D7486" w:rsidRPr="003355B8">
        <w:rPr>
          <w:rFonts w:ascii="Times New Roman" w:hAnsi="Times New Roman" w:cs="Times New Roman"/>
          <w:color w:val="auto"/>
          <w:sz w:val="20"/>
          <w:szCs w:val="24"/>
          <w:lang w:val="en-GB" w:eastAsia="de-DE"/>
        </w:rPr>
        <w:t xml:space="preserve">infrastructure </w:t>
      </w:r>
      <w:r w:rsidR="00687CEF" w:rsidRPr="003355B8">
        <w:rPr>
          <w:rFonts w:ascii="Times New Roman" w:hAnsi="Times New Roman" w:cs="Times New Roman"/>
          <w:color w:val="auto"/>
          <w:sz w:val="20"/>
          <w:szCs w:val="24"/>
          <w:lang w:val="en-GB" w:eastAsia="de-DE"/>
        </w:rPr>
        <w:t>system</w:t>
      </w:r>
      <w:r w:rsidR="00A10D81" w:rsidRPr="003355B8">
        <w:rPr>
          <w:rFonts w:ascii="Times New Roman" w:hAnsi="Times New Roman" w:cs="Times New Roman"/>
          <w:color w:val="auto"/>
          <w:sz w:val="20"/>
          <w:szCs w:val="24"/>
          <w:lang w:val="en-GB" w:eastAsia="de-DE"/>
        </w:rPr>
        <w:t>. While the modelled system here is admittedly simple, our methodology and results constitute</w:t>
      </w:r>
      <w:r w:rsidR="00687CEF" w:rsidRPr="003355B8">
        <w:rPr>
          <w:rFonts w:ascii="Times New Roman" w:hAnsi="Times New Roman" w:cs="Times New Roman"/>
          <w:color w:val="auto"/>
          <w:sz w:val="20"/>
          <w:szCs w:val="24"/>
          <w:lang w:val="en-GB" w:eastAsia="de-DE"/>
        </w:rPr>
        <w:t xml:space="preserve"> a step toward </w:t>
      </w:r>
      <w:r w:rsidR="00A10D81" w:rsidRPr="003355B8">
        <w:rPr>
          <w:rFonts w:ascii="Times New Roman" w:hAnsi="Times New Roman" w:cs="Times New Roman"/>
          <w:color w:val="auto"/>
          <w:sz w:val="20"/>
          <w:szCs w:val="24"/>
          <w:lang w:val="en-GB" w:eastAsia="de-DE"/>
        </w:rPr>
        <w:t xml:space="preserve">quantitatively and meaningfully </w:t>
      </w:r>
      <w:r w:rsidR="00687CEF" w:rsidRPr="003355B8">
        <w:rPr>
          <w:rFonts w:ascii="Times New Roman" w:hAnsi="Times New Roman" w:cs="Times New Roman"/>
          <w:color w:val="auto"/>
          <w:sz w:val="20"/>
          <w:szCs w:val="24"/>
          <w:lang w:val="en-GB" w:eastAsia="de-DE"/>
        </w:rPr>
        <w:t xml:space="preserve">combining social and biophysical factors into indicators of </w:t>
      </w:r>
      <w:r w:rsidR="00A10D81" w:rsidRPr="003355B8">
        <w:rPr>
          <w:rFonts w:ascii="Times New Roman" w:hAnsi="Times New Roman" w:cs="Times New Roman"/>
          <w:color w:val="auto"/>
          <w:sz w:val="20"/>
          <w:szCs w:val="24"/>
          <w:lang w:val="en-GB" w:eastAsia="de-DE"/>
        </w:rPr>
        <w:t>boundaries of more complex systems</w:t>
      </w:r>
      <w:r w:rsidR="00687CEF" w:rsidRPr="003355B8">
        <w:rPr>
          <w:rFonts w:ascii="Times New Roman" w:hAnsi="Times New Roman" w:cs="Times New Roman"/>
          <w:color w:val="auto"/>
          <w:sz w:val="20"/>
          <w:szCs w:val="24"/>
          <w:lang w:val="en-GB" w:eastAsia="de-DE"/>
        </w:rPr>
        <w:t>.</w:t>
      </w:r>
      <w:r w:rsidR="00787630" w:rsidRPr="003355B8">
        <w:rPr>
          <w:rFonts w:ascii="Times New Roman" w:hAnsi="Times New Roman" w:cs="Times New Roman"/>
          <w:color w:val="auto"/>
          <w:sz w:val="20"/>
          <w:szCs w:val="24"/>
          <w:lang w:val="en-GB" w:eastAsia="de-DE"/>
        </w:rPr>
        <w:t xml:space="preserve"> </w:t>
      </w:r>
      <w:r w:rsidR="00A10D81" w:rsidRPr="003355B8">
        <w:rPr>
          <w:rFonts w:ascii="Times New Roman" w:hAnsi="Times New Roman" w:cs="Times New Roman"/>
          <w:color w:val="auto"/>
          <w:sz w:val="20"/>
          <w:szCs w:val="24"/>
          <w:lang w:val="en-GB" w:eastAsia="de-DE"/>
        </w:rPr>
        <w:t>Just as in this work, once those boundaries are clearly defined, calculation and discussion of resilience and robustness can become concrete.</w:t>
      </w:r>
    </w:p>
    <w:p w14:paraId="738D14CD" w14:textId="2AC00FF2" w:rsidR="00F744BF" w:rsidRPr="003355B8" w:rsidRDefault="00F744BF" w:rsidP="005810E7">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b/>
          <w:color w:val="auto"/>
          <w:sz w:val="20"/>
          <w:szCs w:val="24"/>
          <w:lang w:val="en-GB" w:eastAsia="de-DE"/>
        </w:rPr>
        <w:t>Author contribution:</w:t>
      </w:r>
      <w:r w:rsidRPr="003355B8">
        <w:rPr>
          <w:rFonts w:ascii="Times New Roman" w:hAnsi="Times New Roman" w:cs="Times New Roman"/>
          <w:color w:val="auto"/>
          <w:sz w:val="20"/>
          <w:szCs w:val="24"/>
          <w:lang w:val="en-GB" w:eastAsia="de-DE"/>
        </w:rPr>
        <w:t xml:space="preserve"> </w:t>
      </w:r>
      <w:r w:rsidR="005810E7" w:rsidRPr="003355B8">
        <w:rPr>
          <w:rFonts w:ascii="Times New Roman" w:hAnsi="Times New Roman" w:cs="Times New Roman"/>
          <w:color w:val="auto"/>
          <w:sz w:val="20"/>
          <w:szCs w:val="24"/>
          <w:lang w:val="en-GB" w:eastAsia="de-DE"/>
        </w:rPr>
        <w:t>MH, RM, JMA, and CPM designed the study.  MH carried out the analysis.  MH and RM prepared the manuscript</w:t>
      </w:r>
      <w:r w:rsidRPr="003355B8">
        <w:rPr>
          <w:rFonts w:ascii="Times New Roman" w:hAnsi="Times New Roman" w:cs="Times New Roman"/>
          <w:color w:val="auto"/>
          <w:sz w:val="20"/>
          <w:szCs w:val="24"/>
          <w:lang w:val="en-GB" w:eastAsia="de-DE"/>
        </w:rPr>
        <w:t xml:space="preserve"> with contributions from all co-authors.</w:t>
      </w:r>
    </w:p>
    <w:p w14:paraId="40BC9A64" w14:textId="5CCA8AA7" w:rsidR="00F744BF" w:rsidRPr="003355B8" w:rsidRDefault="00F744BF" w:rsidP="00F211D8">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b/>
          <w:color w:val="auto"/>
          <w:sz w:val="20"/>
          <w:szCs w:val="24"/>
          <w:lang w:val="en-GB" w:eastAsia="de-DE"/>
        </w:rPr>
        <w:t>Competing interests:</w:t>
      </w:r>
      <w:r w:rsidRPr="003355B8">
        <w:rPr>
          <w:rFonts w:ascii="Times New Roman" w:hAnsi="Times New Roman" w:cs="Times New Roman"/>
          <w:color w:val="auto"/>
          <w:sz w:val="20"/>
          <w:szCs w:val="24"/>
          <w:lang w:val="en-GB" w:eastAsia="de-DE"/>
        </w:rPr>
        <w:t xml:space="preserve"> The authors declare that they have no conflict of interest.</w:t>
      </w:r>
    </w:p>
    <w:p w14:paraId="5F2740E6" w14:textId="572E27F4" w:rsidR="00F744BF" w:rsidRPr="003355B8" w:rsidRDefault="00F744BF" w:rsidP="004A25E8">
      <w:pPr>
        <w:spacing w:after="120" w:line="240" w:lineRule="auto"/>
        <w:jc w:val="both"/>
        <w:rPr>
          <w:rFonts w:ascii="Times New Roman" w:hAnsi="Times New Roman" w:cs="Times New Roman"/>
          <w:bCs/>
          <w:color w:val="auto"/>
          <w:sz w:val="20"/>
          <w:szCs w:val="24"/>
          <w:lang w:val="en-GB" w:eastAsia="de-DE"/>
        </w:rPr>
      </w:pPr>
      <w:r w:rsidRPr="003355B8">
        <w:rPr>
          <w:rFonts w:ascii="Times New Roman" w:hAnsi="Times New Roman" w:cs="Times New Roman"/>
          <w:b/>
          <w:color w:val="auto"/>
          <w:sz w:val="20"/>
          <w:szCs w:val="24"/>
          <w:lang w:val="en-GB" w:eastAsia="de-DE"/>
        </w:rPr>
        <w:t>Acknowledgements:</w:t>
      </w:r>
      <w:r w:rsidR="005810E7" w:rsidRPr="003355B8">
        <w:rPr>
          <w:rFonts w:ascii="Times New Roman" w:hAnsi="Times New Roman" w:cs="Times New Roman"/>
          <w:b/>
          <w:color w:val="auto"/>
          <w:sz w:val="20"/>
          <w:szCs w:val="24"/>
          <w:lang w:val="en-GB" w:eastAsia="de-DE"/>
        </w:rPr>
        <w:t xml:space="preserve">  </w:t>
      </w:r>
      <w:r w:rsidR="005810E7" w:rsidRPr="003355B8">
        <w:rPr>
          <w:rFonts w:ascii="Times New Roman" w:hAnsi="Times New Roman" w:cs="Times New Roman"/>
          <w:bCs/>
          <w:color w:val="auto"/>
          <w:sz w:val="20"/>
          <w:szCs w:val="24"/>
          <w:lang w:val="en-GB" w:eastAsia="de-DE"/>
        </w:rPr>
        <w:t>JMA and RM acknowledge the support from the grant NSF GEO-1115054.  The authors also thank the editor and two anonymous referees for their constructive and useful comments.</w:t>
      </w:r>
    </w:p>
    <w:p w14:paraId="6856CDBA" w14:textId="7ADBE411" w:rsidR="008813F3" w:rsidRPr="003355B8" w:rsidRDefault="008813F3" w:rsidP="008813F3">
      <w:pPr>
        <w:pStyle w:val="ListParagraph"/>
        <w:numPr>
          <w:ilvl w:val="0"/>
          <w:numId w:val="31"/>
        </w:numPr>
        <w:spacing w:after="120" w:line="240" w:lineRule="auto"/>
        <w:ind w:left="270" w:hanging="270"/>
        <w:jc w:val="both"/>
        <w:rPr>
          <w:rFonts w:ascii="Times New Roman" w:hAnsi="Times New Roman" w:cs="Times New Roman"/>
          <w:b/>
          <w:color w:val="auto"/>
          <w:sz w:val="20"/>
          <w:szCs w:val="24"/>
          <w:lang w:val="en-GB" w:eastAsia="de-DE"/>
        </w:rPr>
      </w:pPr>
      <w:r w:rsidRPr="003355B8">
        <w:rPr>
          <w:rFonts w:ascii="Times New Roman" w:hAnsi="Times New Roman" w:cs="Times New Roman"/>
          <w:b/>
          <w:color w:val="auto"/>
          <w:sz w:val="20"/>
          <w:szCs w:val="24"/>
          <w:lang w:val="en-GB" w:eastAsia="de-DE"/>
        </w:rPr>
        <w:t>Reference:</w:t>
      </w:r>
    </w:p>
    <w:p w14:paraId="226C9CE8" w14:textId="77777777" w:rsidR="00172604" w:rsidRPr="003355B8" w:rsidRDefault="00172604" w:rsidP="0076546C">
      <w:pPr>
        <w:widowControl w:val="0"/>
        <w:autoSpaceDE w:val="0"/>
        <w:autoSpaceDN w:val="0"/>
        <w:adjustRightInd w:val="0"/>
        <w:spacing w:line="240" w:lineRule="auto"/>
        <w:ind w:left="360"/>
        <w:rPr>
          <w:rFonts w:asciiTheme="majorBidi" w:hAnsiTheme="majorBidi" w:cstheme="majorBidi"/>
          <w:noProof/>
          <w:color w:val="auto"/>
          <w:szCs w:val="24"/>
        </w:rPr>
      </w:pPr>
      <w:r w:rsidRPr="003355B8">
        <w:rPr>
          <w:rFonts w:asciiTheme="majorBidi" w:hAnsiTheme="majorBidi" w:cstheme="majorBidi"/>
          <w:noProof/>
          <w:color w:val="auto"/>
          <w:szCs w:val="24"/>
        </w:rPr>
        <w:t xml:space="preserve">Anderies, John M., et al. “Grazing Management, Resilience, and the Dynamics of a Fire-Driven </w:t>
      </w:r>
      <w:r w:rsidRPr="003355B8">
        <w:rPr>
          <w:rFonts w:asciiTheme="majorBidi" w:hAnsiTheme="majorBidi" w:cstheme="majorBidi"/>
          <w:noProof/>
          <w:color w:val="auto"/>
          <w:szCs w:val="24"/>
        </w:rPr>
        <w:lastRenderedPageBreak/>
        <w:t xml:space="preserve">Rangeland System.” </w:t>
      </w:r>
      <w:r w:rsidRPr="003355B8">
        <w:rPr>
          <w:rFonts w:asciiTheme="majorBidi" w:hAnsiTheme="majorBidi" w:cstheme="majorBidi"/>
          <w:i/>
          <w:iCs/>
          <w:noProof/>
          <w:color w:val="auto"/>
          <w:szCs w:val="24"/>
        </w:rPr>
        <w:t>Ecosystems</w:t>
      </w:r>
      <w:r w:rsidRPr="003355B8">
        <w:rPr>
          <w:rFonts w:asciiTheme="majorBidi" w:hAnsiTheme="majorBidi" w:cstheme="majorBidi"/>
          <w:noProof/>
          <w:color w:val="auto"/>
          <w:szCs w:val="24"/>
        </w:rPr>
        <w:t>, vol. 5, no. 1, 2002, pp. 23–44, doi:10.1007/s10021-001-0053-9.</w:t>
      </w:r>
    </w:p>
    <w:p w14:paraId="3BCC269B"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Anderies, J., Janssen, M., &amp; Schlager, E. (2016). Institutions and the performance of coupled infrastructure systems. </w:t>
      </w:r>
      <w:r w:rsidRPr="003355B8">
        <w:rPr>
          <w:rFonts w:ascii="Times New Roman" w:hAnsi="Times New Roman" w:cs="Times New Roman"/>
          <w:i/>
          <w:iCs/>
          <w:noProof/>
          <w:color w:val="auto"/>
          <w:sz w:val="20"/>
          <w:szCs w:val="24"/>
        </w:rPr>
        <w:t>International Journal of the Commons</w:t>
      </w:r>
      <w:r w:rsidRPr="003355B8">
        <w:rPr>
          <w:rFonts w:ascii="Times New Roman" w:hAnsi="Times New Roman" w:cs="Times New Roman"/>
          <w:noProof/>
          <w:color w:val="auto"/>
          <w:sz w:val="20"/>
          <w:szCs w:val="24"/>
        </w:rPr>
        <w:t>, </w:t>
      </w:r>
      <w:r w:rsidRPr="003355B8">
        <w:rPr>
          <w:rFonts w:ascii="Times New Roman" w:hAnsi="Times New Roman" w:cs="Times New Roman"/>
          <w:i/>
          <w:iCs/>
          <w:noProof/>
          <w:color w:val="auto"/>
          <w:sz w:val="20"/>
          <w:szCs w:val="24"/>
        </w:rPr>
        <w:t>10</w:t>
      </w:r>
      <w:r w:rsidRPr="003355B8">
        <w:rPr>
          <w:rFonts w:ascii="Times New Roman" w:hAnsi="Times New Roman" w:cs="Times New Roman"/>
          <w:noProof/>
          <w:color w:val="auto"/>
          <w:sz w:val="20"/>
          <w:szCs w:val="24"/>
        </w:rPr>
        <w:t>(2).</w:t>
      </w:r>
    </w:p>
    <w:p w14:paraId="21F1D63C"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Anderies, J., et al. “A Framework to Analyze the Robustness of Social-Ecological Systems from an Institutional Perspective.” </w:t>
      </w:r>
      <w:r w:rsidRPr="003355B8">
        <w:rPr>
          <w:rFonts w:ascii="Times New Roman" w:hAnsi="Times New Roman" w:cs="Times New Roman"/>
          <w:i/>
          <w:iCs/>
          <w:noProof/>
          <w:color w:val="auto"/>
          <w:sz w:val="20"/>
          <w:szCs w:val="24"/>
        </w:rPr>
        <w:t>Ecology and Society</w:t>
      </w:r>
      <w:r w:rsidRPr="003355B8">
        <w:rPr>
          <w:rFonts w:ascii="Times New Roman" w:hAnsi="Times New Roman" w:cs="Times New Roman"/>
          <w:noProof/>
          <w:color w:val="auto"/>
          <w:sz w:val="20"/>
          <w:szCs w:val="24"/>
        </w:rPr>
        <w:t>, 2004, http://www.ecologyandsociety.org/vol9/iss1/art18/inline.html.</w:t>
      </w:r>
    </w:p>
    <w:p w14:paraId="55B4920A"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Anderies, J. M., et al. “Panaceas, Uncertainty, and the Robust Control Framework in Sustainability Science.” </w:t>
      </w:r>
      <w:r w:rsidRPr="003355B8">
        <w:rPr>
          <w:rFonts w:ascii="Times New Roman" w:hAnsi="Times New Roman" w:cs="Times New Roman"/>
          <w:i/>
          <w:iCs/>
          <w:noProof/>
          <w:color w:val="auto"/>
          <w:sz w:val="20"/>
          <w:szCs w:val="24"/>
        </w:rPr>
        <w:t>Proceedings of the National Academy of Sciences</w:t>
      </w:r>
      <w:r w:rsidRPr="003355B8">
        <w:rPr>
          <w:rFonts w:ascii="Times New Roman" w:hAnsi="Times New Roman" w:cs="Times New Roman"/>
          <w:noProof/>
          <w:color w:val="auto"/>
          <w:sz w:val="20"/>
          <w:szCs w:val="24"/>
        </w:rPr>
        <w:t>, vol. 104, no. 39, 2007, pp. 15194–99, doi:10.1073/pnas.0702655104.</w:t>
      </w:r>
    </w:p>
    <w:p w14:paraId="0B536619"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Anderies, John M., Paul Ryan, et al. “Loss of Resilience, Crisis, and Institutional Change: Lessons from an Intensive Agricultural System in Southeastern Australia.” </w:t>
      </w:r>
      <w:r w:rsidRPr="003355B8">
        <w:rPr>
          <w:rFonts w:ascii="Times New Roman" w:hAnsi="Times New Roman" w:cs="Times New Roman"/>
          <w:i/>
          <w:iCs/>
          <w:noProof/>
          <w:color w:val="auto"/>
          <w:sz w:val="20"/>
          <w:szCs w:val="24"/>
        </w:rPr>
        <w:t>Ecosystems</w:t>
      </w:r>
      <w:r w:rsidRPr="003355B8">
        <w:rPr>
          <w:rFonts w:ascii="Times New Roman" w:hAnsi="Times New Roman" w:cs="Times New Roman"/>
          <w:noProof/>
          <w:color w:val="auto"/>
          <w:sz w:val="20"/>
          <w:szCs w:val="24"/>
        </w:rPr>
        <w:t>, vol. 9, no. 6, 2006, pp. 865–78, doi:10.1007/s10021-006-0017-1.</w:t>
      </w:r>
    </w:p>
    <w:p w14:paraId="1980861B" w14:textId="77777777" w:rsidR="00172604" w:rsidRPr="003355B8" w:rsidRDefault="00172604" w:rsidP="0076546C">
      <w:pPr>
        <w:widowControl w:val="0"/>
        <w:autoSpaceDE w:val="0"/>
        <w:autoSpaceDN w:val="0"/>
        <w:adjustRightInd w:val="0"/>
        <w:spacing w:line="240" w:lineRule="auto"/>
        <w:ind w:left="360"/>
        <w:rPr>
          <w:rFonts w:ascii="Times" w:eastAsiaTheme="minorHAnsi" w:hAnsi="Times"/>
          <w:noProof/>
          <w:color w:val="auto"/>
          <w:sz w:val="20"/>
          <w:szCs w:val="20"/>
        </w:rPr>
      </w:pPr>
      <w:r w:rsidRPr="003355B8">
        <w:rPr>
          <w:rFonts w:ascii="Times" w:eastAsiaTheme="minorHAnsi" w:hAnsi="Times"/>
          <w:noProof/>
          <w:color w:val="auto"/>
          <w:sz w:val="20"/>
          <w:szCs w:val="20"/>
        </w:rPr>
        <w:t>ASCE RCIA Advisory Council (2013), Report card for America’s Infrastrcutre, Tech. Rep. , American Society of Civil Engineers</w:t>
      </w:r>
    </w:p>
    <w:p w14:paraId="72A5760C"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Barrett, Christopher B., and Mark A. Constas. “Toward a Theory of Resilience for International Development Applications.” </w:t>
      </w:r>
      <w:r w:rsidRPr="003355B8">
        <w:rPr>
          <w:rFonts w:ascii="Times New Roman" w:hAnsi="Times New Roman" w:cs="Times New Roman"/>
          <w:i/>
          <w:iCs/>
          <w:noProof/>
          <w:color w:val="auto"/>
          <w:sz w:val="20"/>
          <w:szCs w:val="24"/>
        </w:rPr>
        <w:t>Proceedings of the National Academy of Sciences</w:t>
      </w:r>
      <w:r w:rsidRPr="003355B8">
        <w:rPr>
          <w:rFonts w:ascii="Times New Roman" w:hAnsi="Times New Roman" w:cs="Times New Roman"/>
          <w:noProof/>
          <w:color w:val="auto"/>
          <w:sz w:val="20"/>
          <w:szCs w:val="24"/>
        </w:rPr>
        <w:t>, vol. 111, no. 40, 2014, pp. 14625–30, doi:10.1073/pnas.1320880111.</w:t>
      </w:r>
    </w:p>
    <w:p w14:paraId="50AEAC0F" w14:textId="0AD253D5"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Berkes, Fikret, et al. “Navigating Social-Ecological Systems: Building Resilience for Complexity and </w:t>
      </w:r>
      <w:r w:rsidR="00BC3E18" w:rsidRPr="003355B8">
        <w:rPr>
          <w:rFonts w:ascii="Times New Roman" w:hAnsi="Times New Roman" w:cs="Times New Roman"/>
          <w:noProof/>
          <w:color w:val="auto"/>
          <w:sz w:val="20"/>
          <w:szCs w:val="24"/>
        </w:rPr>
        <w:t>change</w:t>
      </w:r>
      <w:r w:rsidRPr="003355B8">
        <w:rPr>
          <w:rFonts w:ascii="Times New Roman" w:hAnsi="Times New Roman" w:cs="Times New Roman"/>
          <w:noProof/>
          <w:color w:val="auto"/>
          <w:sz w:val="20"/>
          <w:szCs w:val="24"/>
        </w:rPr>
        <w:t xml:space="preserve">” </w:t>
      </w:r>
      <w:r w:rsidRPr="003355B8">
        <w:rPr>
          <w:rFonts w:ascii="Times New Roman" w:hAnsi="Times New Roman" w:cs="Times New Roman"/>
          <w:i/>
          <w:iCs/>
          <w:noProof/>
          <w:color w:val="auto"/>
          <w:sz w:val="20"/>
          <w:szCs w:val="24"/>
        </w:rPr>
        <w:t>Building</w:t>
      </w:r>
      <w:r w:rsidRPr="003355B8">
        <w:rPr>
          <w:rFonts w:ascii="Times New Roman" w:hAnsi="Times New Roman" w:cs="Times New Roman"/>
          <w:noProof/>
          <w:color w:val="auto"/>
          <w:sz w:val="20"/>
          <w:szCs w:val="24"/>
        </w:rPr>
        <w:t>, 2003, p. 393, doi:10.1016/j.biocon.2004.01.010.</w:t>
      </w:r>
    </w:p>
    <w:p w14:paraId="580BA579"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Berkes, Fikret, and Carl Folke. “Linking Social and Ecological Systems for Resilience and Sustainability.” </w:t>
      </w:r>
      <w:r w:rsidRPr="003355B8">
        <w:rPr>
          <w:rFonts w:ascii="Times New Roman" w:hAnsi="Times New Roman" w:cs="Times New Roman"/>
          <w:i/>
          <w:iCs/>
          <w:noProof/>
          <w:color w:val="auto"/>
          <w:sz w:val="20"/>
          <w:szCs w:val="24"/>
        </w:rPr>
        <w:t>Linking Social and Ecological Systems: Management Practices and Social Mechanisms for Building Resilience</w:t>
      </w:r>
      <w:r w:rsidRPr="003355B8">
        <w:rPr>
          <w:rFonts w:ascii="Times New Roman" w:hAnsi="Times New Roman" w:cs="Times New Roman"/>
          <w:noProof/>
          <w:color w:val="auto"/>
          <w:sz w:val="20"/>
          <w:szCs w:val="24"/>
        </w:rPr>
        <w:t>, vol. 1, 1998, pp. 13–20.</w:t>
      </w:r>
    </w:p>
    <w:p w14:paraId="51D7ED9F"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Biggs, Reinette, et al. “Toward Principles for Enhancing the Resilience of Ecosystem Services.” </w:t>
      </w:r>
      <w:r w:rsidRPr="003355B8">
        <w:rPr>
          <w:rFonts w:ascii="Times New Roman" w:hAnsi="Times New Roman" w:cs="Times New Roman"/>
          <w:i/>
          <w:iCs/>
          <w:noProof/>
          <w:color w:val="auto"/>
          <w:sz w:val="20"/>
          <w:szCs w:val="24"/>
        </w:rPr>
        <w:t>Annual Review of Environment and Resources</w:t>
      </w:r>
      <w:r w:rsidRPr="003355B8">
        <w:rPr>
          <w:rFonts w:ascii="Times New Roman" w:hAnsi="Times New Roman" w:cs="Times New Roman"/>
          <w:noProof/>
          <w:color w:val="auto"/>
          <w:sz w:val="20"/>
          <w:szCs w:val="24"/>
        </w:rPr>
        <w:t>, vol. 37, no. 1, Nov. 2012, pp. 421–48, doi:10.1146/annurev-environ-051211-123836.</w:t>
      </w:r>
    </w:p>
    <w:p w14:paraId="63C3BE5B"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Bode, Hendrik Wade. “Network Analysis and Feedback Amplifier Design.” </w:t>
      </w:r>
      <w:r w:rsidRPr="003355B8">
        <w:rPr>
          <w:rFonts w:ascii="Times New Roman" w:hAnsi="Times New Roman" w:cs="Times New Roman"/>
          <w:i/>
          <w:iCs/>
          <w:noProof/>
          <w:color w:val="auto"/>
          <w:sz w:val="20"/>
          <w:szCs w:val="24"/>
        </w:rPr>
        <w:t>Bell Telephone Laboratories Series</w:t>
      </w:r>
      <w:r w:rsidRPr="003355B8">
        <w:rPr>
          <w:rFonts w:ascii="Times New Roman" w:hAnsi="Times New Roman" w:cs="Times New Roman"/>
          <w:noProof/>
          <w:color w:val="auto"/>
          <w:sz w:val="20"/>
          <w:szCs w:val="24"/>
        </w:rPr>
        <w:t>, 1945, p. 551, doi:10.1183/09031936.00138507.</w:t>
      </w:r>
    </w:p>
    <w:p w14:paraId="676AA1D7"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Bryant, Benjamin P., and Robert J. Lempert. “Thinking inside the Box: A Participatory, Computer-Assisted Approach to Scenario Discovery.” </w:t>
      </w:r>
      <w:r w:rsidRPr="003355B8">
        <w:rPr>
          <w:rFonts w:ascii="Times New Roman" w:hAnsi="Times New Roman" w:cs="Times New Roman"/>
          <w:i/>
          <w:iCs/>
          <w:noProof/>
          <w:color w:val="auto"/>
          <w:sz w:val="20"/>
          <w:szCs w:val="24"/>
        </w:rPr>
        <w:t>Technological Forecasting and Social Change</w:t>
      </w:r>
      <w:r w:rsidRPr="003355B8">
        <w:rPr>
          <w:rFonts w:ascii="Times New Roman" w:hAnsi="Times New Roman" w:cs="Times New Roman"/>
          <w:noProof/>
          <w:color w:val="auto"/>
          <w:sz w:val="20"/>
          <w:szCs w:val="24"/>
        </w:rPr>
        <w:t>, vol. 77, no. 1, 2010, pp. 34–49, doi:10.1016/j.techfore.2009.08.002.</w:t>
      </w:r>
    </w:p>
    <w:p w14:paraId="00CFADD2"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Carlson, J. M., and J. Doyle. “Complexity and Robustness.” </w:t>
      </w:r>
      <w:r w:rsidRPr="003355B8">
        <w:rPr>
          <w:rFonts w:ascii="Times New Roman" w:hAnsi="Times New Roman" w:cs="Times New Roman"/>
          <w:i/>
          <w:iCs/>
          <w:noProof/>
          <w:color w:val="auto"/>
          <w:sz w:val="20"/>
          <w:szCs w:val="24"/>
        </w:rPr>
        <w:t>Proceedings of the National Academy of Sciences</w:t>
      </w:r>
      <w:r w:rsidRPr="003355B8">
        <w:rPr>
          <w:rFonts w:ascii="Times New Roman" w:hAnsi="Times New Roman" w:cs="Times New Roman"/>
          <w:noProof/>
          <w:color w:val="auto"/>
          <w:sz w:val="20"/>
          <w:szCs w:val="24"/>
        </w:rPr>
        <w:t>, vol. 99, no. Supplement 1, 2002, pp. 2538–45, doi:10.1073/pnas.012582499.</w:t>
      </w:r>
    </w:p>
    <w:p w14:paraId="3A4BF64E"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Carpenter, S., et al. “From Metaphor to Measurement: Resilience of What to What?” </w:t>
      </w:r>
      <w:r w:rsidRPr="003355B8">
        <w:rPr>
          <w:rFonts w:ascii="Times New Roman" w:hAnsi="Times New Roman" w:cs="Times New Roman"/>
          <w:i/>
          <w:iCs/>
          <w:noProof/>
          <w:color w:val="auto"/>
          <w:sz w:val="20"/>
          <w:szCs w:val="24"/>
        </w:rPr>
        <w:t>Ecosystems</w:t>
      </w:r>
      <w:r w:rsidRPr="003355B8">
        <w:rPr>
          <w:rFonts w:ascii="Times New Roman" w:hAnsi="Times New Roman" w:cs="Times New Roman"/>
          <w:noProof/>
          <w:color w:val="auto"/>
          <w:sz w:val="20"/>
          <w:szCs w:val="24"/>
        </w:rPr>
        <w:t>, 2001, http://www.springerlink.com/index/lu5mxqkxbblkly62.pdf.</w:t>
      </w:r>
    </w:p>
    <w:p w14:paraId="0F34DDD7"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Carpenter, S. R., et al. “Management of Eutrophication for Lakes Subject to Potentially Irreversible Change.” </w:t>
      </w:r>
      <w:r w:rsidRPr="003355B8">
        <w:rPr>
          <w:rFonts w:ascii="Times New Roman" w:hAnsi="Times New Roman" w:cs="Times New Roman"/>
          <w:i/>
          <w:iCs/>
          <w:noProof/>
          <w:color w:val="auto"/>
          <w:sz w:val="20"/>
          <w:szCs w:val="24"/>
        </w:rPr>
        <w:t>Ecological Applications</w:t>
      </w:r>
      <w:r w:rsidRPr="003355B8">
        <w:rPr>
          <w:rFonts w:ascii="Times New Roman" w:hAnsi="Times New Roman" w:cs="Times New Roman"/>
          <w:noProof/>
          <w:color w:val="auto"/>
          <w:sz w:val="20"/>
          <w:szCs w:val="24"/>
        </w:rPr>
        <w:t>, vol. 9, no. 3, 1999, pp. 751–71, doi:10.2307/2641327.</w:t>
      </w:r>
    </w:p>
    <w:p w14:paraId="7A2F3554"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Carpenter, Stephen R., William Brock, et al. “Ecological and Social Dynamics in Simple Models of Ecosystem Management.” </w:t>
      </w:r>
      <w:r w:rsidRPr="003355B8">
        <w:rPr>
          <w:rFonts w:ascii="Times New Roman" w:hAnsi="Times New Roman" w:cs="Times New Roman"/>
          <w:i/>
          <w:iCs/>
          <w:noProof/>
          <w:color w:val="auto"/>
          <w:sz w:val="20"/>
          <w:szCs w:val="24"/>
        </w:rPr>
        <w:t>Conservation Ecology</w:t>
      </w:r>
      <w:r w:rsidRPr="003355B8">
        <w:rPr>
          <w:rFonts w:ascii="Times New Roman" w:hAnsi="Times New Roman" w:cs="Times New Roman"/>
          <w:noProof/>
          <w:color w:val="auto"/>
          <w:sz w:val="20"/>
          <w:szCs w:val="24"/>
        </w:rPr>
        <w:t>, vol. 3, no. 2, 1999, pp. 1–31, doi:10.5751/ES-00122-030204.</w:t>
      </w:r>
    </w:p>
    <w:p w14:paraId="001DC883"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Carpenter, Stephen R., Frances Westley, et al. “Surrogates for Resilience of Social-Ecological Systems.” </w:t>
      </w:r>
      <w:r w:rsidRPr="003355B8">
        <w:rPr>
          <w:rFonts w:ascii="Times New Roman" w:hAnsi="Times New Roman" w:cs="Times New Roman"/>
          <w:i/>
          <w:iCs/>
          <w:noProof/>
          <w:color w:val="auto"/>
          <w:sz w:val="20"/>
          <w:szCs w:val="24"/>
        </w:rPr>
        <w:t>Ecosystems</w:t>
      </w:r>
      <w:r w:rsidRPr="003355B8">
        <w:rPr>
          <w:rFonts w:ascii="Times New Roman" w:hAnsi="Times New Roman" w:cs="Times New Roman"/>
          <w:noProof/>
          <w:color w:val="auto"/>
          <w:sz w:val="20"/>
          <w:szCs w:val="24"/>
        </w:rPr>
        <w:t>, vol. 8, no. 8, 2005, pp. 941–44, doi:10.1007/s10021-005-0170-y.</w:t>
      </w:r>
    </w:p>
    <w:p w14:paraId="11A1F9C6"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Carpenter, Stephen R., and William A. Brock. “Spatial Complexity, Resilience, and Policy Diversity: Fishing on Lake-Rich Landscapes.” </w:t>
      </w:r>
      <w:r w:rsidRPr="003355B8">
        <w:rPr>
          <w:rFonts w:ascii="Times New Roman" w:hAnsi="Times New Roman" w:cs="Times New Roman"/>
          <w:i/>
          <w:iCs/>
          <w:noProof/>
          <w:color w:val="auto"/>
          <w:sz w:val="20"/>
          <w:szCs w:val="24"/>
        </w:rPr>
        <w:t>Ecology and Society</w:t>
      </w:r>
      <w:r w:rsidRPr="003355B8">
        <w:rPr>
          <w:rFonts w:ascii="Times New Roman" w:hAnsi="Times New Roman" w:cs="Times New Roman"/>
          <w:noProof/>
          <w:color w:val="auto"/>
          <w:sz w:val="20"/>
          <w:szCs w:val="24"/>
        </w:rPr>
        <w:t>, vol. 9, no. 1, 2004, doi:8.</w:t>
      </w:r>
    </w:p>
    <w:p w14:paraId="0DF7CC8B"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Chang, Stephanie E., et al. “Toward Disaster-Resilient Cities: Characterizing Resilience of Infrastructure Systems with Expert Judgments.” </w:t>
      </w:r>
      <w:r w:rsidRPr="003355B8">
        <w:rPr>
          <w:rFonts w:ascii="Times New Roman" w:hAnsi="Times New Roman" w:cs="Times New Roman"/>
          <w:i/>
          <w:iCs/>
          <w:noProof/>
          <w:color w:val="auto"/>
          <w:sz w:val="20"/>
          <w:szCs w:val="24"/>
        </w:rPr>
        <w:t>Risk Analysis</w:t>
      </w:r>
      <w:r w:rsidRPr="003355B8">
        <w:rPr>
          <w:rFonts w:ascii="Times New Roman" w:hAnsi="Times New Roman" w:cs="Times New Roman"/>
          <w:noProof/>
          <w:color w:val="auto"/>
          <w:sz w:val="20"/>
          <w:szCs w:val="24"/>
        </w:rPr>
        <w:t>, vol. 34, no. 3, 2014, pp. 416–34, doi:10.1111/risa.12133.</w:t>
      </w:r>
    </w:p>
    <w:p w14:paraId="766EA766"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lastRenderedPageBreak/>
        <w:t xml:space="preserve">Chang, Stephanie E., and Masanobu Shinozuka. “Measuring Improvements in the Disaster Resilience of Communities.” </w:t>
      </w:r>
      <w:r w:rsidRPr="003355B8">
        <w:rPr>
          <w:rFonts w:ascii="Times New Roman" w:hAnsi="Times New Roman" w:cs="Times New Roman"/>
          <w:i/>
          <w:iCs/>
          <w:noProof/>
          <w:color w:val="auto"/>
          <w:sz w:val="20"/>
          <w:szCs w:val="24"/>
        </w:rPr>
        <w:t>Earthquake Spectra</w:t>
      </w:r>
      <w:r w:rsidRPr="003355B8">
        <w:rPr>
          <w:rFonts w:ascii="Times New Roman" w:hAnsi="Times New Roman" w:cs="Times New Roman"/>
          <w:noProof/>
          <w:color w:val="auto"/>
          <w:sz w:val="20"/>
          <w:szCs w:val="24"/>
        </w:rPr>
        <w:t>, vol. 20, no. 3, 2004, pp. 739–55, doi:10.1193/1.1775796.</w:t>
      </w:r>
    </w:p>
    <w:p w14:paraId="0E18DB37"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Cote, Muriel, and Andrea J. Nightingale. “Resilience Thinking Meets Social Theory.” </w:t>
      </w:r>
      <w:r w:rsidRPr="003355B8">
        <w:rPr>
          <w:rFonts w:ascii="Times New Roman" w:hAnsi="Times New Roman" w:cs="Times New Roman"/>
          <w:i/>
          <w:iCs/>
          <w:noProof/>
          <w:color w:val="auto"/>
          <w:sz w:val="20"/>
          <w:szCs w:val="24"/>
        </w:rPr>
        <w:t>Progress in Human Geography</w:t>
      </w:r>
      <w:r w:rsidRPr="003355B8">
        <w:rPr>
          <w:rFonts w:ascii="Times New Roman" w:hAnsi="Times New Roman" w:cs="Times New Roman"/>
          <w:noProof/>
          <w:color w:val="auto"/>
          <w:sz w:val="20"/>
          <w:szCs w:val="24"/>
        </w:rPr>
        <w:t>, vol. 36, no. 4, 2012, pp. 475–89, doi:10.1177/0309132511425708.</w:t>
      </w:r>
    </w:p>
    <w:p w14:paraId="6A9E8CE4"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Csete, Marie E., and John C. Doyle. “Reverse Engineering of Biological Complexity.” </w:t>
      </w:r>
      <w:r w:rsidRPr="003355B8">
        <w:rPr>
          <w:rFonts w:ascii="Times New Roman" w:hAnsi="Times New Roman" w:cs="Times New Roman"/>
          <w:i/>
          <w:iCs/>
          <w:noProof/>
          <w:color w:val="auto"/>
          <w:sz w:val="20"/>
          <w:szCs w:val="24"/>
        </w:rPr>
        <w:t>Science (New York, N.Y.)</w:t>
      </w:r>
      <w:r w:rsidRPr="003355B8">
        <w:rPr>
          <w:rFonts w:ascii="Times New Roman" w:hAnsi="Times New Roman" w:cs="Times New Roman"/>
          <w:noProof/>
          <w:color w:val="auto"/>
          <w:sz w:val="20"/>
          <w:szCs w:val="24"/>
        </w:rPr>
        <w:t>, vol. 295, no. 5560, 2002, pp. 1664–69, doi:10.1126/science.1069981.</w:t>
      </w:r>
    </w:p>
    <w:p w14:paraId="5F9004B5"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Cumming, Graeme S., and Garry D. Peterson. “Unifying Research on Social–Ecological Resilience and Collapse.” </w:t>
      </w:r>
      <w:r w:rsidRPr="003355B8">
        <w:rPr>
          <w:rFonts w:ascii="Times New Roman" w:hAnsi="Times New Roman" w:cs="Times New Roman"/>
          <w:i/>
          <w:iCs/>
          <w:noProof/>
          <w:color w:val="auto"/>
          <w:sz w:val="20"/>
          <w:szCs w:val="24"/>
        </w:rPr>
        <w:t>Trends in Ecology and Evolution</w:t>
      </w:r>
      <w:r w:rsidRPr="003355B8">
        <w:rPr>
          <w:rFonts w:ascii="Times New Roman" w:hAnsi="Times New Roman" w:cs="Times New Roman"/>
          <w:noProof/>
          <w:color w:val="auto"/>
          <w:sz w:val="20"/>
          <w:szCs w:val="24"/>
        </w:rPr>
        <w:t>, vol. 32, no. 9, Elsevier Ltd, 2017, pp. 695–713, doi:10.1016/j.tree.2017.06.014.</w:t>
      </w:r>
    </w:p>
    <w:p w14:paraId="33117397"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Folke, Carl. “Resilience: The Emergence of a Perspective for Social–ecological Systems Analyses.” </w:t>
      </w:r>
      <w:r w:rsidRPr="003355B8">
        <w:rPr>
          <w:rFonts w:ascii="Times New Roman" w:hAnsi="Times New Roman" w:cs="Times New Roman"/>
          <w:i/>
          <w:iCs/>
          <w:noProof/>
          <w:color w:val="auto"/>
          <w:sz w:val="20"/>
          <w:szCs w:val="24"/>
        </w:rPr>
        <w:t>Global Environmental Change</w:t>
      </w:r>
      <w:r w:rsidRPr="003355B8">
        <w:rPr>
          <w:rFonts w:ascii="Times New Roman" w:hAnsi="Times New Roman" w:cs="Times New Roman"/>
          <w:noProof/>
          <w:color w:val="auto"/>
          <w:sz w:val="20"/>
          <w:szCs w:val="24"/>
        </w:rPr>
        <w:t>, vol. 16, no. 3, Aug. 2006, pp. 253–67, doi:10.1016/j.gloenvcha.2006.04.002.</w:t>
      </w:r>
    </w:p>
    <w:p w14:paraId="3F8C278B"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Folke, Carl, Steve Carpenter, et al. “Resilience and Sustainable Development: Building Adaptive Capacity in a World of Transformations.” </w:t>
      </w:r>
      <w:r w:rsidRPr="003355B8">
        <w:rPr>
          <w:rFonts w:ascii="Times New Roman" w:hAnsi="Times New Roman" w:cs="Times New Roman"/>
          <w:i/>
          <w:iCs/>
          <w:noProof/>
          <w:color w:val="auto"/>
          <w:sz w:val="20"/>
          <w:szCs w:val="24"/>
        </w:rPr>
        <w:t>AMBIO: A Journal of the Human Environment</w:t>
      </w:r>
      <w:r w:rsidRPr="003355B8">
        <w:rPr>
          <w:rFonts w:ascii="Times New Roman" w:hAnsi="Times New Roman" w:cs="Times New Roman"/>
          <w:noProof/>
          <w:color w:val="auto"/>
          <w:sz w:val="20"/>
          <w:szCs w:val="24"/>
        </w:rPr>
        <w:t>, vol. 31, no. 5, 2002, p. 437, doi:10.1639/0044-7447(2002)031[0437:RASDBA]2.0.CO;2.</w:t>
      </w:r>
    </w:p>
    <w:p w14:paraId="7ED5E878"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Folke, Carl, Stephen R. Carpenter, et al. “Resilience Thinking: Integrating Resilience, Adaptability and Transformability.” </w:t>
      </w:r>
      <w:r w:rsidRPr="003355B8">
        <w:rPr>
          <w:rFonts w:ascii="Times New Roman" w:hAnsi="Times New Roman" w:cs="Times New Roman"/>
          <w:i/>
          <w:iCs/>
          <w:noProof/>
          <w:color w:val="auto"/>
          <w:sz w:val="20"/>
          <w:szCs w:val="24"/>
        </w:rPr>
        <w:t>Ecology and Society</w:t>
      </w:r>
      <w:r w:rsidRPr="003355B8">
        <w:rPr>
          <w:rFonts w:ascii="Times New Roman" w:hAnsi="Times New Roman" w:cs="Times New Roman"/>
          <w:noProof/>
          <w:color w:val="auto"/>
          <w:sz w:val="20"/>
          <w:szCs w:val="24"/>
        </w:rPr>
        <w:t>, vol. 15, no. 4, 2010, doi:10.5751/ES-03610-150420.</w:t>
      </w:r>
    </w:p>
    <w:p w14:paraId="6F442FCA"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Folke, Carl, Reinette Biggs, et al. “Social-Ecological Resilience and Biosphere-Based Sustainability Science.” </w:t>
      </w:r>
      <w:r w:rsidRPr="003355B8">
        <w:rPr>
          <w:rFonts w:ascii="Times New Roman" w:hAnsi="Times New Roman" w:cs="Times New Roman"/>
          <w:i/>
          <w:iCs/>
          <w:noProof/>
          <w:color w:val="auto"/>
          <w:sz w:val="20"/>
          <w:szCs w:val="24"/>
        </w:rPr>
        <w:t>Ecology and Society</w:t>
      </w:r>
      <w:r w:rsidRPr="003355B8">
        <w:rPr>
          <w:rFonts w:ascii="Times New Roman" w:hAnsi="Times New Roman" w:cs="Times New Roman"/>
          <w:noProof/>
          <w:color w:val="auto"/>
          <w:sz w:val="20"/>
          <w:szCs w:val="24"/>
        </w:rPr>
        <w:t>, vol. 21, no. 3, 2016, doi:10.5751/ES-08748-210341.</w:t>
      </w:r>
    </w:p>
    <w:p w14:paraId="25EA3D50"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Groves, David G., and Robert J. Lempert. “A New Analytic Method for Finding Policy-Relevant Scenarios.” </w:t>
      </w:r>
      <w:r w:rsidRPr="003355B8">
        <w:rPr>
          <w:rFonts w:ascii="Times New Roman" w:hAnsi="Times New Roman" w:cs="Times New Roman"/>
          <w:i/>
          <w:iCs/>
          <w:noProof/>
          <w:color w:val="auto"/>
          <w:sz w:val="20"/>
          <w:szCs w:val="24"/>
        </w:rPr>
        <w:t>Global Environmental Change</w:t>
      </w:r>
      <w:r w:rsidRPr="003355B8">
        <w:rPr>
          <w:rFonts w:ascii="Times New Roman" w:hAnsi="Times New Roman" w:cs="Times New Roman"/>
          <w:noProof/>
          <w:color w:val="auto"/>
          <w:sz w:val="20"/>
          <w:szCs w:val="24"/>
        </w:rPr>
        <w:t>, vol. 17, no. 1, 2007, pp. 73–85, doi:10.1016/j.gloenvcha.2006.11.006.</w:t>
      </w:r>
    </w:p>
    <w:p w14:paraId="263EF351"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Gunderson, Lance H., et al. </w:t>
      </w:r>
      <w:r w:rsidRPr="003355B8">
        <w:rPr>
          <w:rFonts w:ascii="Times New Roman" w:hAnsi="Times New Roman" w:cs="Times New Roman"/>
          <w:i/>
          <w:iCs/>
          <w:noProof/>
          <w:color w:val="auto"/>
          <w:sz w:val="20"/>
          <w:szCs w:val="24"/>
        </w:rPr>
        <w:t>Barriers and Bridges to the Renewal of Ecosystems and Institutions</w:t>
      </w:r>
      <w:r w:rsidRPr="003355B8">
        <w:rPr>
          <w:rFonts w:ascii="Times New Roman" w:hAnsi="Times New Roman" w:cs="Times New Roman"/>
          <w:noProof/>
          <w:color w:val="auto"/>
          <w:sz w:val="20"/>
          <w:szCs w:val="24"/>
        </w:rPr>
        <w:t>. Columbia University Press, 1995.</w:t>
      </w:r>
    </w:p>
    <w:p w14:paraId="58092851"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Holling, C. S. “Resilience and Stability of Ecological Systems.” </w:t>
      </w:r>
      <w:r w:rsidRPr="003355B8">
        <w:rPr>
          <w:rFonts w:ascii="Times New Roman" w:hAnsi="Times New Roman" w:cs="Times New Roman"/>
          <w:i/>
          <w:iCs/>
          <w:noProof/>
          <w:color w:val="auto"/>
          <w:sz w:val="20"/>
          <w:szCs w:val="24"/>
        </w:rPr>
        <w:t>Annual Review of Ecology and Systematics</w:t>
      </w:r>
      <w:r w:rsidRPr="003355B8">
        <w:rPr>
          <w:rFonts w:ascii="Times New Roman" w:hAnsi="Times New Roman" w:cs="Times New Roman"/>
          <w:noProof/>
          <w:color w:val="auto"/>
          <w:sz w:val="20"/>
          <w:szCs w:val="24"/>
        </w:rPr>
        <w:t>, vol. 4, no. 1, Nov. 1973, pp. 1–23, doi:10.1146/annurev.es.04.110173.000245.</w:t>
      </w:r>
    </w:p>
    <w:p w14:paraId="725C869C"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Holling, Crawford Stanley. “Engineering Resilience versus Ecological Resilience.” </w:t>
      </w:r>
      <w:r w:rsidRPr="003355B8">
        <w:rPr>
          <w:rFonts w:ascii="Times New Roman" w:hAnsi="Times New Roman" w:cs="Times New Roman"/>
          <w:i/>
          <w:iCs/>
          <w:noProof/>
          <w:color w:val="auto"/>
          <w:sz w:val="20"/>
          <w:szCs w:val="24"/>
        </w:rPr>
        <w:t>Engineering Within Ecological Constraints</w:t>
      </w:r>
      <w:r w:rsidRPr="003355B8">
        <w:rPr>
          <w:rFonts w:ascii="Times New Roman" w:hAnsi="Times New Roman" w:cs="Times New Roman"/>
          <w:noProof/>
          <w:color w:val="auto"/>
          <w:sz w:val="20"/>
          <w:szCs w:val="24"/>
        </w:rPr>
        <w:t>, no. 1996, 1996, pp. 31–44, doi:10.17226/4919.</w:t>
      </w:r>
    </w:p>
    <w:p w14:paraId="62A5110C" w14:textId="77777777" w:rsidR="00172604" w:rsidRPr="003355B8" w:rsidRDefault="00172604" w:rsidP="0076546C">
      <w:pPr>
        <w:widowControl w:val="0"/>
        <w:autoSpaceDE w:val="0"/>
        <w:autoSpaceDN w:val="0"/>
        <w:adjustRightInd w:val="0"/>
        <w:spacing w:after="120" w:line="240" w:lineRule="auto"/>
        <w:ind w:left="360"/>
        <w:rPr>
          <w:rFonts w:ascii="Times New Roman" w:hAnsi="Times New Roman" w:cs="Times New Roman"/>
          <w:noProof/>
          <w:color w:val="auto"/>
          <w:sz w:val="20"/>
          <w:szCs w:val="24"/>
        </w:rPr>
      </w:pPr>
      <w:r w:rsidRPr="003355B8">
        <w:rPr>
          <w:rFonts w:ascii="Times New Roman" w:hAnsi="Times New Roman" w:cs="Times New Roman"/>
          <w:noProof/>
          <w:color w:val="auto"/>
          <w:sz w:val="20"/>
          <w:szCs w:val="24"/>
        </w:rPr>
        <w:t xml:space="preserve">Janssen, Marco A., et al. “Robust Strategies for Managing Rangelands with Multiple Stable Attractors.” </w:t>
      </w:r>
      <w:r w:rsidRPr="003355B8">
        <w:rPr>
          <w:rFonts w:ascii="Times New Roman" w:hAnsi="Times New Roman" w:cs="Times New Roman"/>
          <w:i/>
          <w:iCs/>
          <w:noProof/>
          <w:color w:val="auto"/>
          <w:sz w:val="20"/>
          <w:szCs w:val="24"/>
        </w:rPr>
        <w:t>Journal of Environmental Economics and Management</w:t>
      </w:r>
      <w:r w:rsidRPr="003355B8">
        <w:rPr>
          <w:rFonts w:ascii="Times New Roman" w:hAnsi="Times New Roman" w:cs="Times New Roman"/>
          <w:noProof/>
          <w:color w:val="auto"/>
          <w:sz w:val="20"/>
          <w:szCs w:val="24"/>
        </w:rPr>
        <w:t>, vol. 47, no. 1, 2004, pp. 140–62, doi:10.1016/S0095-0696(03)00069-X.</w:t>
      </w:r>
    </w:p>
    <w:p w14:paraId="718BD54B" w14:textId="77777777" w:rsidR="00172604" w:rsidRPr="003355B8" w:rsidRDefault="00172604" w:rsidP="0076546C">
      <w:pPr>
        <w:widowControl w:val="0"/>
        <w:autoSpaceDE w:val="0"/>
        <w:autoSpaceDN w:val="0"/>
        <w:adjustRightInd w:val="0"/>
        <w:spacing w:line="240" w:lineRule="auto"/>
        <w:ind w:left="360"/>
        <w:rPr>
          <w:rFonts w:ascii="Times" w:hAnsi="Times"/>
          <w:noProof/>
          <w:color w:val="auto"/>
          <w:sz w:val="20"/>
          <w:szCs w:val="20"/>
        </w:rPr>
      </w:pPr>
      <w:r w:rsidRPr="003355B8">
        <w:rPr>
          <w:rFonts w:ascii="Times" w:hAnsi="Times"/>
          <w:color w:val="auto"/>
          <w:sz w:val="20"/>
          <w:szCs w:val="20"/>
        </w:rPr>
        <w:fldChar w:fldCharType="begin" w:fldLock="1"/>
      </w:r>
      <w:r w:rsidRPr="003355B8">
        <w:rPr>
          <w:rFonts w:ascii="Times" w:hAnsi="Times"/>
          <w:color w:val="auto"/>
          <w:sz w:val="20"/>
          <w:szCs w:val="20"/>
        </w:rPr>
        <w:instrText xml:space="preserve">ADDIN Mendeley Bibliography CSL_BIBLIOGRAPHY </w:instrText>
      </w:r>
      <w:r w:rsidRPr="003355B8">
        <w:rPr>
          <w:rFonts w:ascii="Times" w:hAnsi="Times"/>
          <w:color w:val="auto"/>
          <w:sz w:val="20"/>
          <w:szCs w:val="20"/>
        </w:rPr>
        <w:fldChar w:fldCharType="separate"/>
      </w:r>
      <w:r w:rsidRPr="003355B8">
        <w:rPr>
          <w:rFonts w:ascii="Times" w:hAnsi="Times"/>
          <w:noProof/>
          <w:color w:val="auto"/>
          <w:sz w:val="20"/>
          <w:szCs w:val="20"/>
        </w:rPr>
        <w:t xml:space="preserve">Kerner, David, and J. Thomas. “Resilience Attributes of Social-Ecological Systems: Framing Metrics for Management.” </w:t>
      </w:r>
      <w:r w:rsidRPr="003355B8">
        <w:rPr>
          <w:rFonts w:ascii="Times" w:hAnsi="Times"/>
          <w:i/>
          <w:iCs/>
          <w:noProof/>
          <w:color w:val="auto"/>
          <w:sz w:val="20"/>
          <w:szCs w:val="20"/>
        </w:rPr>
        <w:t>Resources</w:t>
      </w:r>
      <w:r w:rsidRPr="003355B8">
        <w:rPr>
          <w:rFonts w:ascii="Times" w:hAnsi="Times"/>
          <w:noProof/>
          <w:color w:val="auto"/>
          <w:sz w:val="20"/>
          <w:szCs w:val="20"/>
        </w:rPr>
        <w:t>, vol. 3, no. 4, Multidisciplinary Digital Publishing Institute, Dec. 2014, pp. 672–702, doi:10.3390/resources3040672.</w:t>
      </w:r>
    </w:p>
    <w:p w14:paraId="1C829995" w14:textId="77777777" w:rsidR="00172604" w:rsidRPr="003355B8" w:rsidRDefault="00172604" w:rsidP="0076546C">
      <w:pPr>
        <w:ind w:left="360"/>
        <w:rPr>
          <w:rFonts w:ascii="Times" w:hAnsi="Times"/>
          <w:noProof/>
          <w:color w:val="auto"/>
          <w:sz w:val="20"/>
          <w:szCs w:val="20"/>
        </w:rPr>
      </w:pPr>
      <w:r w:rsidRPr="003355B8">
        <w:rPr>
          <w:rFonts w:ascii="Times" w:hAnsi="Times"/>
          <w:color w:val="auto"/>
          <w:sz w:val="20"/>
          <w:szCs w:val="20"/>
        </w:rPr>
        <w:fldChar w:fldCharType="end"/>
      </w:r>
      <w:r w:rsidRPr="003355B8">
        <w:rPr>
          <w:rFonts w:ascii="Times" w:hAnsi="Times"/>
          <w:noProof/>
          <w:color w:val="auto"/>
          <w:sz w:val="20"/>
          <w:szCs w:val="20"/>
        </w:rPr>
        <w:t>Kot, M. (2001). </w:t>
      </w:r>
      <w:r w:rsidRPr="003355B8">
        <w:rPr>
          <w:rFonts w:ascii="Times" w:hAnsi="Times"/>
          <w:i/>
          <w:iCs/>
          <w:noProof/>
          <w:color w:val="auto"/>
          <w:sz w:val="20"/>
          <w:szCs w:val="20"/>
        </w:rPr>
        <w:t>Elements of Mathematical Ecology</w:t>
      </w:r>
      <w:r w:rsidRPr="003355B8">
        <w:rPr>
          <w:rFonts w:ascii="Times" w:hAnsi="Times"/>
          <w:noProof/>
          <w:color w:val="auto"/>
          <w:sz w:val="20"/>
          <w:szCs w:val="20"/>
        </w:rPr>
        <w:t>. Cambridge University Press.</w:t>
      </w:r>
    </w:p>
    <w:p w14:paraId="594A9C01" w14:textId="77777777" w:rsidR="00172604" w:rsidRPr="003355B8" w:rsidRDefault="00172604" w:rsidP="0076546C">
      <w:pPr>
        <w:widowControl w:val="0"/>
        <w:autoSpaceDE w:val="0"/>
        <w:autoSpaceDN w:val="0"/>
        <w:adjustRightInd w:val="0"/>
        <w:spacing w:line="240" w:lineRule="auto"/>
        <w:ind w:left="360"/>
        <w:rPr>
          <w:rFonts w:ascii="Times" w:hAnsi="Times"/>
          <w:noProof/>
          <w:color w:val="auto"/>
          <w:sz w:val="20"/>
          <w:szCs w:val="20"/>
        </w:rPr>
      </w:pPr>
      <w:r w:rsidRPr="003355B8">
        <w:rPr>
          <w:rFonts w:ascii="Times" w:hAnsi="Times"/>
          <w:noProof/>
          <w:color w:val="auto"/>
          <w:sz w:val="20"/>
          <w:szCs w:val="20"/>
        </w:rPr>
        <w:t xml:space="preserve">Krokhmal, Pavlo, et al. </w:t>
      </w:r>
      <w:r w:rsidRPr="003355B8">
        <w:rPr>
          <w:rFonts w:ascii="Times" w:hAnsi="Times"/>
          <w:i/>
          <w:iCs/>
          <w:noProof/>
          <w:color w:val="auto"/>
          <w:sz w:val="20"/>
          <w:szCs w:val="20"/>
        </w:rPr>
        <w:t>PORTFOLIO OPTIMIZATION WITH CONDITIONAL VALUE-AT-RISK OBJECTIVE AND CONSTRAINTS</w:t>
      </w:r>
      <w:r w:rsidRPr="003355B8">
        <w:rPr>
          <w:rFonts w:ascii="Times" w:hAnsi="Times"/>
          <w:noProof/>
          <w:color w:val="auto"/>
          <w:sz w:val="20"/>
          <w:szCs w:val="20"/>
        </w:rPr>
        <w:t>. no. 352, 2001, pp. 1–30.</w:t>
      </w:r>
    </w:p>
    <w:p w14:paraId="1E4FB904"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 xml:space="preserve">Longstaff, Patricia H. H., et al. “Building Resilient Communities: A Preliminary Framework for Assessment.” </w:t>
      </w:r>
      <w:r w:rsidRPr="003355B8">
        <w:rPr>
          <w:rFonts w:ascii="Times" w:hAnsi="Times" w:cs="Times New Roman"/>
          <w:i/>
          <w:iCs/>
          <w:noProof/>
          <w:color w:val="auto"/>
          <w:sz w:val="20"/>
          <w:szCs w:val="20"/>
        </w:rPr>
        <w:t>Homeland Security Affairs</w:t>
      </w:r>
      <w:r w:rsidRPr="003355B8">
        <w:rPr>
          <w:rFonts w:ascii="Times" w:hAnsi="Times" w:cs="Times New Roman"/>
          <w:noProof/>
          <w:color w:val="auto"/>
          <w:sz w:val="20"/>
          <w:szCs w:val="20"/>
        </w:rPr>
        <w:t>, vol. 6, no. 3, 2010, pp. 1–23.</w:t>
      </w:r>
    </w:p>
    <w:p w14:paraId="7379A272"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May, R. M. (2001). </w:t>
      </w:r>
      <w:r w:rsidRPr="003355B8">
        <w:rPr>
          <w:rFonts w:ascii="Times" w:hAnsi="Times" w:cs="Times New Roman"/>
          <w:i/>
          <w:iCs/>
          <w:noProof/>
          <w:color w:val="auto"/>
          <w:sz w:val="20"/>
          <w:szCs w:val="20"/>
        </w:rPr>
        <w:t>Stability and Complexity in Model Ecosystems</w:t>
      </w:r>
      <w:r w:rsidRPr="003355B8">
        <w:rPr>
          <w:rFonts w:ascii="Times" w:hAnsi="Times" w:cs="Times New Roman"/>
          <w:noProof/>
          <w:color w:val="auto"/>
          <w:sz w:val="20"/>
          <w:szCs w:val="20"/>
        </w:rPr>
        <w:t>. Princeton university press.</w:t>
      </w:r>
    </w:p>
    <w:p w14:paraId="1C59E102"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 xml:space="preserve">Mitra, Chiranjit, et al. “An Integrative Quantifier of Multistability in Complex Systems Based on Ecological Resilience.” </w:t>
      </w:r>
      <w:r w:rsidRPr="003355B8">
        <w:rPr>
          <w:rFonts w:ascii="Times" w:hAnsi="Times" w:cs="Times New Roman"/>
          <w:i/>
          <w:iCs/>
          <w:noProof/>
          <w:color w:val="auto"/>
          <w:sz w:val="20"/>
          <w:szCs w:val="20"/>
        </w:rPr>
        <w:t>Scientific Reports</w:t>
      </w:r>
      <w:r w:rsidRPr="003355B8">
        <w:rPr>
          <w:rFonts w:ascii="Times" w:hAnsi="Times" w:cs="Times New Roman"/>
          <w:noProof/>
          <w:color w:val="auto"/>
          <w:sz w:val="20"/>
          <w:szCs w:val="20"/>
        </w:rPr>
        <w:t>, vol. 5, Nature Publishing Group, 2015, pp. 1–10, doi:10.1038/srep16196.</w:t>
      </w:r>
    </w:p>
    <w:p w14:paraId="3F19CB4A"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 xml:space="preserve">Muneepeerakul, Rachata, and John M. Anderies. “Strategic Behaviors and Governance Challenges in Social-Ecological Systems.” </w:t>
      </w:r>
      <w:r w:rsidRPr="003355B8">
        <w:rPr>
          <w:rFonts w:ascii="Times" w:hAnsi="Times" w:cs="Times New Roman"/>
          <w:i/>
          <w:iCs/>
          <w:noProof/>
          <w:color w:val="auto"/>
          <w:sz w:val="20"/>
          <w:szCs w:val="20"/>
        </w:rPr>
        <w:t>Earth’s Future</w:t>
      </w:r>
      <w:r w:rsidRPr="003355B8">
        <w:rPr>
          <w:rFonts w:ascii="Times" w:hAnsi="Times" w:cs="Times New Roman"/>
          <w:noProof/>
          <w:color w:val="auto"/>
          <w:sz w:val="20"/>
          <w:szCs w:val="20"/>
        </w:rPr>
        <w:t>, vol. 5, no. 8, Wiley Periodicals, Inc., Aug. 2017, pp. 865–76, doi:10.1002/2017EF000562.</w:t>
      </w:r>
    </w:p>
    <w:p w14:paraId="5B98AD3F"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lastRenderedPageBreak/>
        <w:t xml:space="preserve">Ostrom, E., et al. “Going beyond Panaceas.” </w:t>
      </w:r>
      <w:r w:rsidRPr="003355B8">
        <w:rPr>
          <w:rFonts w:ascii="Times" w:hAnsi="Times" w:cs="Times New Roman"/>
          <w:i/>
          <w:iCs/>
          <w:noProof/>
          <w:color w:val="auto"/>
          <w:sz w:val="20"/>
          <w:szCs w:val="20"/>
        </w:rPr>
        <w:t>Proceedings of the National Academy of Sciences</w:t>
      </w:r>
      <w:r w:rsidRPr="003355B8">
        <w:rPr>
          <w:rFonts w:ascii="Times" w:hAnsi="Times" w:cs="Times New Roman"/>
          <w:noProof/>
          <w:color w:val="auto"/>
          <w:sz w:val="20"/>
          <w:szCs w:val="20"/>
        </w:rPr>
        <w:t>, vol. 104, no. 39, 2007, pp. 15176–78, doi:10.1073/pnas.0701886104.</w:t>
      </w:r>
    </w:p>
    <w:p w14:paraId="0B3B4226"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 xml:space="preserve">Redman, Charles L. “Should Sustainability and Resilience Be Combined or Remain Distinct Pursuits?” </w:t>
      </w:r>
      <w:r w:rsidRPr="003355B8">
        <w:rPr>
          <w:rFonts w:ascii="Times" w:hAnsi="Times" w:cs="Times New Roman"/>
          <w:i/>
          <w:iCs/>
          <w:noProof/>
          <w:color w:val="auto"/>
          <w:sz w:val="20"/>
          <w:szCs w:val="20"/>
        </w:rPr>
        <w:t>Ecology and Society</w:t>
      </w:r>
      <w:r w:rsidRPr="003355B8">
        <w:rPr>
          <w:rFonts w:ascii="Times" w:hAnsi="Times" w:cs="Times New Roman"/>
          <w:noProof/>
          <w:color w:val="auto"/>
          <w:sz w:val="20"/>
          <w:szCs w:val="20"/>
        </w:rPr>
        <w:t>, vol. 19, no. 2, 2014, p. art37, doi:10.5751/ES-06390-190237.</w:t>
      </w:r>
    </w:p>
    <w:p w14:paraId="7B6573BC" w14:textId="77777777" w:rsidR="00172604" w:rsidRPr="003355B8" w:rsidRDefault="00172604" w:rsidP="0076546C">
      <w:pPr>
        <w:widowControl w:val="0"/>
        <w:autoSpaceDE w:val="0"/>
        <w:autoSpaceDN w:val="0"/>
        <w:adjustRightInd w:val="0"/>
        <w:spacing w:line="240" w:lineRule="auto"/>
        <w:ind w:left="360"/>
        <w:rPr>
          <w:rFonts w:ascii="Times" w:hAnsi="Times"/>
          <w:noProof/>
          <w:color w:val="auto"/>
          <w:sz w:val="20"/>
          <w:szCs w:val="20"/>
        </w:rPr>
      </w:pPr>
      <w:r w:rsidRPr="003355B8">
        <w:rPr>
          <w:rFonts w:ascii="Times" w:hAnsi="Times"/>
          <w:noProof/>
          <w:color w:val="auto"/>
          <w:sz w:val="20"/>
          <w:szCs w:val="20"/>
        </w:rPr>
        <w:t xml:space="preserve">Rockafellar, R. Tyrrell, and Stanislav Uryasev. </w:t>
      </w:r>
      <w:r w:rsidRPr="003355B8">
        <w:rPr>
          <w:rFonts w:ascii="Times" w:hAnsi="Times"/>
          <w:i/>
          <w:iCs/>
          <w:noProof/>
          <w:color w:val="auto"/>
          <w:sz w:val="20"/>
          <w:szCs w:val="20"/>
        </w:rPr>
        <w:t>Optimization of Conditional Value-at-Risk</w:t>
      </w:r>
      <w:r w:rsidRPr="003355B8">
        <w:rPr>
          <w:rFonts w:ascii="Times" w:hAnsi="Times"/>
          <w:noProof/>
          <w:color w:val="auto"/>
          <w:sz w:val="20"/>
          <w:szCs w:val="20"/>
        </w:rPr>
        <w:t>. 1999, pp. 1–26.</w:t>
      </w:r>
    </w:p>
    <w:p w14:paraId="7E15DB85" w14:textId="77777777" w:rsidR="00172604" w:rsidRPr="003355B8" w:rsidRDefault="00172604" w:rsidP="0076546C">
      <w:pPr>
        <w:widowControl w:val="0"/>
        <w:autoSpaceDE w:val="0"/>
        <w:autoSpaceDN w:val="0"/>
        <w:adjustRightInd w:val="0"/>
        <w:spacing w:line="240" w:lineRule="auto"/>
        <w:ind w:left="360"/>
        <w:rPr>
          <w:rFonts w:ascii="Times" w:hAnsi="Times"/>
          <w:noProof/>
          <w:color w:val="auto"/>
          <w:sz w:val="20"/>
          <w:szCs w:val="20"/>
        </w:rPr>
      </w:pPr>
      <w:r w:rsidRPr="003355B8">
        <w:rPr>
          <w:rFonts w:ascii="Times" w:hAnsi="Times"/>
          <w:noProof/>
          <w:color w:val="auto"/>
          <w:sz w:val="20"/>
          <w:szCs w:val="20"/>
        </w:rPr>
        <w:t xml:space="preserve">Sarykalin, Sergey, et al. </w:t>
      </w:r>
      <w:r w:rsidRPr="003355B8">
        <w:rPr>
          <w:rFonts w:ascii="Times" w:hAnsi="Times"/>
          <w:i/>
          <w:iCs/>
          <w:noProof/>
          <w:color w:val="auto"/>
          <w:sz w:val="20"/>
          <w:szCs w:val="20"/>
        </w:rPr>
        <w:t>Value-at-Risk vs . Conditional Value-at-Risk in Risk Management and Optimization</w:t>
      </w:r>
      <w:r w:rsidRPr="003355B8">
        <w:rPr>
          <w:rFonts w:ascii="Times" w:hAnsi="Times"/>
          <w:noProof/>
          <w:color w:val="auto"/>
          <w:sz w:val="20"/>
          <w:szCs w:val="20"/>
        </w:rPr>
        <w:t>. 2008, pp. 270–94, doi:10.1287/educ.1080.0052.</w:t>
      </w:r>
    </w:p>
    <w:p w14:paraId="279370A2"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 xml:space="preserve">Scheffer, Marten, Stephen R. Carpenter, et al. “Anticipating Critical Transitions.” </w:t>
      </w:r>
      <w:r w:rsidRPr="003355B8">
        <w:rPr>
          <w:rFonts w:ascii="Times" w:hAnsi="Times" w:cs="Times New Roman"/>
          <w:i/>
          <w:iCs/>
          <w:noProof/>
          <w:color w:val="auto"/>
          <w:sz w:val="20"/>
          <w:szCs w:val="20"/>
        </w:rPr>
        <w:t>Science</w:t>
      </w:r>
      <w:r w:rsidRPr="003355B8">
        <w:rPr>
          <w:rFonts w:ascii="Times" w:hAnsi="Times" w:cs="Times New Roman"/>
          <w:noProof/>
          <w:color w:val="auto"/>
          <w:sz w:val="20"/>
          <w:szCs w:val="20"/>
        </w:rPr>
        <w:t>, vol. 338, no. 6105, 2012, pp. 344–48, doi:10.1126/science.1225244.</w:t>
      </w:r>
    </w:p>
    <w:p w14:paraId="5E54BF4E"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 xml:space="preserve">Scheffer, Marten, Jordi Bascompte, et al. “Early-Warning Signals for Critical Transitions.” </w:t>
      </w:r>
      <w:r w:rsidRPr="003355B8">
        <w:rPr>
          <w:rFonts w:ascii="Times" w:hAnsi="Times" w:cs="Times New Roman"/>
          <w:i/>
          <w:iCs/>
          <w:noProof/>
          <w:color w:val="auto"/>
          <w:sz w:val="20"/>
          <w:szCs w:val="20"/>
        </w:rPr>
        <w:t>Nature</w:t>
      </w:r>
      <w:r w:rsidRPr="003355B8">
        <w:rPr>
          <w:rFonts w:ascii="Times" w:hAnsi="Times" w:cs="Times New Roman"/>
          <w:noProof/>
          <w:color w:val="auto"/>
          <w:sz w:val="20"/>
          <w:szCs w:val="20"/>
        </w:rPr>
        <w:t>, vol. 461, no. 7260, Nature Publishing Group, Sept. 2009, pp. 53–59, doi:10.1038/nature08227.</w:t>
      </w:r>
    </w:p>
    <w:p w14:paraId="743C05F9"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 xml:space="preserve">Scheffer, Marten, William Brock, et al. “Socioeconomic Mechanisms Preventing Optimum Use of Ecosystem Services: An Interdisciplinary Theoretical Analysis.” </w:t>
      </w:r>
      <w:r w:rsidRPr="003355B8">
        <w:rPr>
          <w:rFonts w:ascii="Times" w:hAnsi="Times" w:cs="Times New Roman"/>
          <w:i/>
          <w:iCs/>
          <w:noProof/>
          <w:color w:val="auto"/>
          <w:sz w:val="20"/>
          <w:szCs w:val="20"/>
        </w:rPr>
        <w:t>Ecosystems</w:t>
      </w:r>
      <w:r w:rsidRPr="003355B8">
        <w:rPr>
          <w:rFonts w:ascii="Times" w:hAnsi="Times" w:cs="Times New Roman"/>
          <w:noProof/>
          <w:color w:val="auto"/>
          <w:sz w:val="20"/>
          <w:szCs w:val="20"/>
        </w:rPr>
        <w:t>, vol. 3, no. 5, 2000, pp. 451–71, doi:10.1007/s100210000040.</w:t>
      </w:r>
    </w:p>
    <w:p w14:paraId="3DBE1E37"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 xml:space="preserve">Walker, B., et al. “Resilience Management in Social-Ecological Systems: A Working\nhypothesis for a Participatory Approach.” </w:t>
      </w:r>
      <w:r w:rsidRPr="003355B8">
        <w:rPr>
          <w:rFonts w:ascii="Times" w:hAnsi="Times" w:cs="Times New Roman"/>
          <w:i/>
          <w:iCs/>
          <w:noProof/>
          <w:color w:val="auto"/>
          <w:sz w:val="20"/>
          <w:szCs w:val="20"/>
        </w:rPr>
        <w:t>Conservation Ecology [Online]</w:t>
      </w:r>
      <w:r w:rsidRPr="003355B8">
        <w:rPr>
          <w:rFonts w:ascii="Times" w:hAnsi="Times" w:cs="Times New Roman"/>
          <w:noProof/>
          <w:color w:val="auto"/>
          <w:sz w:val="20"/>
          <w:szCs w:val="20"/>
        </w:rPr>
        <w:t>, vol. 6, no. 1, 2002, p. 14, doi:14.</w:t>
      </w:r>
    </w:p>
    <w:p w14:paraId="4199E817"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 xml:space="preserve">Walker, Brian, et al. “Resilience , Adaptability and Transformability in Social-Ecological Systems Resilience , Adaptability and Transformability in Social – Ecological Systems.” </w:t>
      </w:r>
      <w:r w:rsidRPr="003355B8">
        <w:rPr>
          <w:rFonts w:ascii="Times" w:hAnsi="Times" w:cs="Times New Roman"/>
          <w:i/>
          <w:iCs/>
          <w:noProof/>
          <w:color w:val="auto"/>
          <w:sz w:val="20"/>
          <w:szCs w:val="20"/>
        </w:rPr>
        <w:t>Ecology and Society</w:t>
      </w:r>
      <w:r w:rsidRPr="003355B8">
        <w:rPr>
          <w:rFonts w:ascii="Times" w:hAnsi="Times" w:cs="Times New Roman"/>
          <w:noProof/>
          <w:color w:val="auto"/>
          <w:sz w:val="20"/>
          <w:szCs w:val="20"/>
        </w:rPr>
        <w:t>, vol. 9, no. 2, 2004, doi:10.5751/ES-00650-090205.</w:t>
      </w:r>
    </w:p>
    <w:p w14:paraId="48699877" w14:textId="77777777" w:rsidR="00172604" w:rsidRPr="003355B8" w:rsidRDefault="00172604" w:rsidP="0076546C">
      <w:pPr>
        <w:widowControl w:val="0"/>
        <w:autoSpaceDE w:val="0"/>
        <w:autoSpaceDN w:val="0"/>
        <w:adjustRightInd w:val="0"/>
        <w:spacing w:after="120" w:line="240" w:lineRule="auto"/>
        <w:ind w:left="360"/>
        <w:rPr>
          <w:rFonts w:ascii="Times" w:hAnsi="Times" w:cs="Times New Roman"/>
          <w:noProof/>
          <w:color w:val="auto"/>
          <w:sz w:val="20"/>
          <w:szCs w:val="20"/>
        </w:rPr>
      </w:pPr>
      <w:r w:rsidRPr="003355B8">
        <w:rPr>
          <w:rFonts w:ascii="Times" w:hAnsi="Times" w:cs="Times New Roman"/>
          <w:noProof/>
          <w:color w:val="auto"/>
          <w:sz w:val="20"/>
          <w:szCs w:val="20"/>
        </w:rPr>
        <w:t xml:space="preserve">Wolpert, David H., and William G. Macready. “No Free Lunch Theorems for Optimization.” </w:t>
      </w:r>
      <w:r w:rsidRPr="003355B8">
        <w:rPr>
          <w:rFonts w:ascii="Times" w:hAnsi="Times" w:cs="Times New Roman"/>
          <w:i/>
          <w:iCs/>
          <w:noProof/>
          <w:color w:val="auto"/>
          <w:sz w:val="20"/>
          <w:szCs w:val="20"/>
        </w:rPr>
        <w:t>IEEE Transactions on Evolutionary Computation</w:t>
      </w:r>
      <w:r w:rsidRPr="003355B8">
        <w:rPr>
          <w:rFonts w:ascii="Times" w:hAnsi="Times" w:cs="Times New Roman"/>
          <w:noProof/>
          <w:color w:val="auto"/>
          <w:sz w:val="20"/>
          <w:szCs w:val="20"/>
        </w:rPr>
        <w:t>, vol. 1, no. 1, 1997, pp. 67–82, doi:10.1109/4235.585893.</w:t>
      </w:r>
    </w:p>
    <w:p w14:paraId="03775969" w14:textId="25308B36" w:rsidR="00640190" w:rsidRPr="003355B8" w:rsidRDefault="00172604" w:rsidP="0076546C">
      <w:pPr>
        <w:widowControl w:val="0"/>
        <w:autoSpaceDE w:val="0"/>
        <w:autoSpaceDN w:val="0"/>
        <w:adjustRightInd w:val="0"/>
        <w:spacing w:line="240" w:lineRule="auto"/>
        <w:ind w:left="360"/>
        <w:rPr>
          <w:rFonts w:ascii="Times" w:hAnsi="Times" w:cs="Times New Roman"/>
          <w:b/>
          <w:color w:val="auto"/>
          <w:sz w:val="20"/>
          <w:szCs w:val="20"/>
          <w:lang w:val="en-GB" w:eastAsia="de-DE"/>
        </w:rPr>
      </w:pPr>
      <w:r w:rsidRPr="003355B8">
        <w:rPr>
          <w:rFonts w:ascii="Times" w:hAnsi="Times"/>
          <w:noProof/>
          <w:color w:val="auto"/>
          <w:sz w:val="20"/>
          <w:szCs w:val="20"/>
        </w:rPr>
        <w:t xml:space="preserve">Zymler, Steve, et al. </w:t>
      </w:r>
      <w:r w:rsidRPr="003355B8">
        <w:rPr>
          <w:rFonts w:ascii="Times" w:hAnsi="Times"/>
          <w:i/>
          <w:iCs/>
          <w:noProof/>
          <w:color w:val="auto"/>
          <w:sz w:val="20"/>
          <w:szCs w:val="20"/>
        </w:rPr>
        <w:t>Worst-Case Value at Risk of Nonlinear Portfolios</w:t>
      </w:r>
      <w:r w:rsidRPr="003355B8">
        <w:rPr>
          <w:rFonts w:ascii="Times" w:hAnsi="Times"/>
          <w:noProof/>
          <w:color w:val="auto"/>
          <w:sz w:val="20"/>
          <w:szCs w:val="20"/>
        </w:rPr>
        <w:t>. Vol. 59, no. 1, 2013, pp. 172–88.</w:t>
      </w:r>
      <w:r w:rsidR="00A53C48" w:rsidRPr="003355B8" w:rsidDel="00A53C48">
        <w:rPr>
          <w:rStyle w:val="CommentReference"/>
          <w:rFonts w:ascii="Times" w:hAnsi="Times"/>
          <w:color w:val="auto"/>
          <w:sz w:val="20"/>
          <w:szCs w:val="20"/>
        </w:rPr>
        <w:t xml:space="preserve"> </w:t>
      </w:r>
    </w:p>
    <w:p w14:paraId="418B719C" w14:textId="0DAEBC38" w:rsidR="004A25E8" w:rsidRPr="003355B8" w:rsidRDefault="004A25E8" w:rsidP="007E216B">
      <w:pPr>
        <w:widowControl w:val="0"/>
        <w:autoSpaceDE w:val="0"/>
        <w:autoSpaceDN w:val="0"/>
        <w:adjustRightInd w:val="0"/>
        <w:spacing w:after="120" w:line="240" w:lineRule="auto"/>
        <w:ind w:left="480" w:hanging="480"/>
        <w:rPr>
          <w:rFonts w:ascii="Times New Roman" w:hAnsi="Times New Roman" w:cs="Arial"/>
          <w:bCs/>
          <w:color w:val="auto"/>
          <w:kern w:val="32"/>
          <w:sz w:val="20"/>
          <w:szCs w:val="32"/>
          <w:lang w:val="en-GB" w:eastAsia="de-DE"/>
        </w:rPr>
      </w:pPr>
      <w:r w:rsidRPr="003355B8">
        <w:rPr>
          <w:rFonts w:ascii="Times New Roman" w:hAnsi="Times New Roman" w:cs="Arial"/>
          <w:bCs/>
          <w:color w:val="auto"/>
          <w:kern w:val="32"/>
          <w:sz w:val="20"/>
          <w:szCs w:val="32"/>
          <w:lang w:val="en-GB" w:eastAsia="de-DE"/>
        </w:rPr>
        <w:t xml:space="preserve">APPENDIX </w:t>
      </w:r>
    </w:p>
    <w:p w14:paraId="41256A99" w14:textId="732E60CB" w:rsidR="002F026B" w:rsidRPr="003355B8" w:rsidRDefault="004A25E8" w:rsidP="0076546C">
      <w:pPr>
        <w:spacing w:after="120" w:line="360" w:lineRule="auto"/>
        <w:rPr>
          <w:rFonts w:ascii="Times New Roman" w:hAnsi="Times New Roman" w:cs="Times New Roman"/>
          <w:color w:val="auto"/>
          <w:sz w:val="20"/>
          <w:szCs w:val="24"/>
          <w:lang w:val="en-GB" w:eastAsia="de-DE"/>
        </w:rPr>
      </w:pPr>
      <w:bookmarkStart w:id="13" w:name="_Hlk510772462"/>
      <w:r w:rsidRPr="003355B8">
        <w:rPr>
          <w:rFonts w:ascii="Times New Roman" w:hAnsi="Times New Roman" w:cs="Times New Roman"/>
          <w:b/>
          <w:color w:val="auto"/>
          <w:sz w:val="20"/>
          <w:szCs w:val="24"/>
          <w:lang w:val="en-GB" w:eastAsia="de-DE"/>
        </w:rPr>
        <w:t>Basic model</w:t>
      </w:r>
      <w:r w:rsidR="00203CFC" w:rsidRPr="003355B8">
        <w:rPr>
          <w:rFonts w:ascii="Times New Roman" w:hAnsi="Times New Roman" w:cs="Times New Roman"/>
          <w:b/>
          <w:color w:val="auto"/>
          <w:sz w:val="20"/>
          <w:szCs w:val="24"/>
          <w:lang w:val="en-GB" w:eastAsia="de-DE"/>
        </w:rPr>
        <w:t>.</w:t>
      </w:r>
      <w:r w:rsidR="00203CFC" w:rsidRPr="003355B8">
        <w:rPr>
          <w:rFonts w:ascii="Times New Roman" w:hAnsi="Times New Roman" w:cs="Times New Roman"/>
          <w:color w:val="auto"/>
          <w:sz w:val="20"/>
          <w:szCs w:val="24"/>
          <w:lang w:val="en-GB" w:eastAsia="de-DE"/>
        </w:rPr>
        <w:t xml:space="preserve"> </w:t>
      </w:r>
      <w:r w:rsidRPr="003355B8">
        <w:rPr>
          <w:rFonts w:ascii="Times New Roman" w:hAnsi="Times New Roman" w:cs="Times New Roman"/>
          <w:color w:val="auto"/>
          <w:sz w:val="20"/>
          <w:szCs w:val="24"/>
          <w:lang w:val="en-GB" w:eastAsia="de-DE"/>
        </w:rPr>
        <w:t>Here we brief</w:t>
      </w:r>
      <w:r w:rsidR="003A0B40" w:rsidRPr="003355B8">
        <w:rPr>
          <w:rFonts w:ascii="Times New Roman" w:hAnsi="Times New Roman" w:cs="Times New Roman"/>
          <w:color w:val="auto"/>
          <w:sz w:val="20"/>
          <w:szCs w:val="24"/>
          <w:lang w:val="en-GB" w:eastAsia="de-DE"/>
        </w:rPr>
        <w:t>ly</w:t>
      </w:r>
      <w:r w:rsidRPr="003355B8">
        <w:rPr>
          <w:rFonts w:ascii="Times New Roman" w:hAnsi="Times New Roman" w:cs="Times New Roman"/>
          <w:color w:val="auto"/>
          <w:sz w:val="20"/>
          <w:szCs w:val="24"/>
          <w:lang w:val="en-GB" w:eastAsia="de-DE"/>
        </w:rPr>
        <w:t xml:space="preserve"> describe the basic model presented by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"10.1002/2017EF000562", "ISSN" : "23284277", "author" : [ { "dropping-particle" : "", "family" : "Muneepeerakul", "given" : "Rachata", "non-dropping-particle" : "", "parse-names" : false, "suffix" : "" }, { "dropping-particle" : "", "family" : "Anderies", "given" : "John M.", "non-dropping-particle" : "", "parse-names" : false, "suffix" : "" } ], "container-title" : "Earth's Future", "id" : "ITEM-1", "issue" : "8", "issued" : { "date-parts" : [ [ "2017", "8", "1" ] ] }, "page" : "865-876", "publisher" : "Wiley Periodicals, Inc.", "title" : "Strategic behaviors and governance challenges in social-ecological systems", "type" : "article-journal", "volume" : "5" }, "uris" : [ "http://www.mendeley.com/documents/?uuid=47bc3b3d-f4be-3cc5-a88e-78968dc05228" ] } ], "mendeley" : { "formattedCitation" : "(Muneepeerakul and Anderies)", "manualFormatting" : "Muneepeerakul and Anderies (2017)", "plainTextFormattedCitation" : "(Muneepeerakul and Anderies)", "previouslyFormattedCitation" : "(Muneepeerakul and Anderies)"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Muneepeerakul and Anderies (2017)</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w:t>
      </w:r>
      <w:bookmarkStart w:id="14" w:name="_Hlk510772609"/>
      <w:bookmarkEnd w:id="13"/>
      <w:r w:rsidRPr="003355B8">
        <w:rPr>
          <w:rFonts w:ascii="Times New Roman" w:hAnsi="Times New Roman" w:cs="Times New Roman"/>
          <w:color w:val="auto"/>
          <w:sz w:val="20"/>
          <w:szCs w:val="24"/>
          <w:lang w:val="en-GB" w:eastAsia="de-DE"/>
        </w:rPr>
        <w:t xml:space="preserve">The model shows dynamic </w:t>
      </w:r>
      <w:r w:rsidR="00401BD0" w:rsidRPr="003355B8">
        <w:rPr>
          <w:rFonts w:ascii="Times New Roman" w:hAnsi="Times New Roman" w:cs="Times New Roman"/>
          <w:color w:val="auto"/>
          <w:sz w:val="20"/>
          <w:szCs w:val="24"/>
          <w:lang w:val="en-GB" w:eastAsia="de-DE"/>
        </w:rPr>
        <w:t>behaviour</w:t>
      </w:r>
      <w:r w:rsidRPr="003355B8">
        <w:rPr>
          <w:rFonts w:ascii="Times New Roman" w:hAnsi="Times New Roman" w:cs="Times New Roman"/>
          <w:color w:val="auto"/>
          <w:sz w:val="20"/>
          <w:szCs w:val="24"/>
          <w:lang w:val="en-GB" w:eastAsia="de-DE"/>
        </w:rPr>
        <w:t xml:space="preserve"> of three principal variables, namely, the state of the public infrastructure,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Sub>
      </m:oMath>
      <w:r w:rsidRPr="003355B8">
        <w:rPr>
          <w:rFonts w:ascii="Times New Roman" w:hAnsi="Times New Roman" w:cs="Times New Roman"/>
          <w:color w:val="auto"/>
          <w:sz w:val="20"/>
          <w:szCs w:val="24"/>
          <w:lang w:val="en-GB" w:eastAsia="de-DE"/>
        </w:rPr>
        <w:t xml:space="preserve">, resource level, </w:t>
      </w:r>
      <m:oMath>
        <m:r>
          <w:rPr>
            <w:rFonts w:ascii="Cambria Math" w:hAnsi="Cambria Math" w:cs="Cambria Math"/>
            <w:color w:val="auto"/>
            <w:sz w:val="20"/>
            <w:szCs w:val="24"/>
            <w:lang w:val="en-GB" w:eastAsia="de-DE"/>
          </w:rPr>
          <m:t>R</m:t>
        </m:r>
      </m:oMath>
      <w:r w:rsidRPr="003355B8">
        <w:rPr>
          <w:rFonts w:ascii="Times New Roman" w:hAnsi="Times New Roman" w:cs="Times New Roman"/>
          <w:color w:val="auto"/>
          <w:sz w:val="20"/>
          <w:szCs w:val="24"/>
          <w:lang w:val="en-GB" w:eastAsia="de-DE"/>
        </w:rPr>
        <w:t xml:space="preserve">, and the fraction of time user makes use of infrastructure, </w:t>
      </w:r>
      <m:oMath>
        <m:r>
          <w:rPr>
            <w:rFonts w:ascii="Cambria Math" w:hAnsi="Cambria Math" w:cs="Cambria Math"/>
            <w:color w:val="auto"/>
            <w:sz w:val="20"/>
            <w:szCs w:val="24"/>
            <w:lang w:val="en-GB" w:eastAsia="de-DE"/>
          </w:rPr>
          <m:t>U</m:t>
        </m:r>
      </m:oMath>
      <w:r w:rsidRPr="003355B8">
        <w:rPr>
          <w:rFonts w:ascii="Times New Roman" w:hAnsi="Times New Roman" w:cs="Times New Roman"/>
          <w:color w:val="auto"/>
          <w:sz w:val="20"/>
          <w:szCs w:val="24"/>
          <w:lang w:val="en-GB" w:eastAsia="de-DE"/>
        </w:rPr>
        <w:t>, through Eq’s (</w:t>
      </w:r>
      <w:r w:rsidR="003A0B40" w:rsidRPr="003355B8">
        <w:rPr>
          <w:rFonts w:ascii="Times New Roman" w:hAnsi="Times New Roman" w:cs="Times New Roman"/>
          <w:color w:val="auto"/>
          <w:sz w:val="20"/>
          <w:szCs w:val="24"/>
          <w:lang w:val="en-GB" w:eastAsia="de-DE"/>
        </w:rPr>
        <w:t>A</w:t>
      </w:r>
      <w:r w:rsidRPr="003355B8">
        <w:rPr>
          <w:rFonts w:ascii="Times New Roman" w:hAnsi="Times New Roman" w:cs="Times New Roman"/>
          <w:color w:val="auto"/>
          <w:sz w:val="20"/>
          <w:szCs w:val="24"/>
          <w:lang w:val="en-GB" w:eastAsia="de-DE"/>
        </w:rPr>
        <w:t xml:space="preserve">1, </w:t>
      </w:r>
      <w:r w:rsidR="003A0B40" w:rsidRPr="003355B8">
        <w:rPr>
          <w:rFonts w:ascii="Times New Roman" w:hAnsi="Times New Roman" w:cs="Times New Roman"/>
          <w:color w:val="auto"/>
          <w:sz w:val="20"/>
          <w:szCs w:val="24"/>
          <w:lang w:val="en-GB" w:eastAsia="de-DE"/>
        </w:rPr>
        <w:t>A</w:t>
      </w:r>
      <w:r w:rsidRPr="003355B8">
        <w:rPr>
          <w:rFonts w:ascii="Times New Roman" w:hAnsi="Times New Roman" w:cs="Times New Roman"/>
          <w:color w:val="auto"/>
          <w:sz w:val="20"/>
          <w:szCs w:val="24"/>
          <w:lang w:val="en-GB" w:eastAsia="de-DE"/>
        </w:rPr>
        <w:t xml:space="preserve">4 and </w:t>
      </w:r>
      <w:r w:rsidR="003A0B40" w:rsidRPr="003355B8">
        <w:rPr>
          <w:rFonts w:ascii="Times New Roman" w:hAnsi="Times New Roman" w:cs="Times New Roman"/>
          <w:color w:val="auto"/>
          <w:sz w:val="20"/>
          <w:szCs w:val="24"/>
          <w:lang w:val="en-GB" w:eastAsia="de-DE"/>
        </w:rPr>
        <w:t>A</w:t>
      </w:r>
      <w:r w:rsidRPr="003355B8">
        <w:rPr>
          <w:rFonts w:ascii="Times New Roman" w:hAnsi="Times New Roman" w:cs="Times New Roman"/>
          <w:color w:val="auto"/>
          <w:sz w:val="20"/>
          <w:szCs w:val="24"/>
          <w:lang w:val="en-GB" w:eastAsia="de-DE"/>
        </w:rPr>
        <w:t xml:space="preserve">5). </w:t>
      </w:r>
      <w:bookmarkEnd w:id="14"/>
      <w:r w:rsidR="002F026B" w:rsidRPr="003355B8">
        <w:rPr>
          <w:rFonts w:ascii="Times New Roman" w:hAnsi="Times New Roman" w:cs="Times New Roman"/>
          <w:color w:val="auto"/>
          <w:sz w:val="20"/>
          <w:szCs w:val="24"/>
          <w:lang w:val="en-GB" w:eastAsia="de-DE"/>
        </w:rPr>
        <w:t>The schematic diagram of this system of equations is shown in Figure A1.</w:t>
      </w:r>
    </w:p>
    <w:p w14:paraId="5D9B4F2B" w14:textId="06419C88" w:rsidR="002F026B" w:rsidRPr="003355B8" w:rsidRDefault="002F026B" w:rsidP="0076546C">
      <w:pPr>
        <w:spacing w:after="120" w:line="240" w:lineRule="auto"/>
        <w:jc w:val="center"/>
        <w:rPr>
          <w:rFonts w:ascii="Times New Roman" w:hAnsi="Times New Roman" w:cs="Times New Roman"/>
          <w:color w:val="auto"/>
          <w:sz w:val="18"/>
          <w:szCs w:val="18"/>
        </w:rPr>
      </w:pPr>
      <w:r w:rsidRPr="003355B8">
        <w:rPr>
          <w:rFonts w:ascii="Times New Roman" w:hAnsi="Times New Roman" w:cs="Times New Roman"/>
          <w:bCs/>
          <w:color w:val="auto"/>
          <w:sz w:val="18"/>
          <w:szCs w:val="18"/>
        </w:rPr>
        <w:t>Figure A1:</w:t>
      </w:r>
      <w:r w:rsidRPr="003355B8">
        <w:rPr>
          <w:rFonts w:ascii="Times New Roman" w:hAnsi="Times New Roman" w:cs="Times New Roman"/>
          <w:color w:val="auto"/>
          <w:sz w:val="18"/>
          <w:szCs w:val="18"/>
        </w:rPr>
        <w:t xml:space="preserve"> Schematic diagram of the dynamical system model.  Taken from </w:t>
      </w:r>
      <w:proofErr w:type="spellStart"/>
      <w:r w:rsidRPr="003355B8">
        <w:rPr>
          <w:rFonts w:ascii="Times New Roman" w:hAnsi="Times New Roman" w:cs="Times New Roman"/>
          <w:color w:val="auto"/>
          <w:sz w:val="18"/>
          <w:szCs w:val="18"/>
        </w:rPr>
        <w:t>Muneepeerakul</w:t>
      </w:r>
      <w:proofErr w:type="spellEnd"/>
      <w:r w:rsidRPr="003355B8">
        <w:rPr>
          <w:rFonts w:ascii="Times New Roman" w:hAnsi="Times New Roman" w:cs="Times New Roman"/>
          <w:color w:val="auto"/>
          <w:sz w:val="18"/>
          <w:szCs w:val="18"/>
        </w:rPr>
        <w:t xml:space="preserve"> and </w:t>
      </w:r>
      <w:proofErr w:type="spellStart"/>
      <w:r w:rsidRPr="003355B8">
        <w:rPr>
          <w:rFonts w:ascii="Times New Roman" w:hAnsi="Times New Roman" w:cs="Times New Roman"/>
          <w:color w:val="auto"/>
          <w:sz w:val="18"/>
          <w:szCs w:val="18"/>
        </w:rPr>
        <w:t>Anderies</w:t>
      </w:r>
      <w:proofErr w:type="spellEnd"/>
      <w:r w:rsidRPr="003355B8">
        <w:rPr>
          <w:rFonts w:ascii="Times New Roman" w:hAnsi="Times New Roman" w:cs="Times New Roman"/>
          <w:color w:val="auto"/>
          <w:sz w:val="18"/>
          <w:szCs w:val="18"/>
        </w:rPr>
        <w:t xml:space="preserve"> (2017).</w:t>
      </w:r>
    </w:p>
    <w:p w14:paraId="0F8381A1" w14:textId="683AA85D" w:rsidR="004A25E8" w:rsidRPr="003355B8" w:rsidRDefault="004A25E8" w:rsidP="0076546C">
      <w:pPr>
        <w:spacing w:after="120" w:line="360" w:lineRule="auto"/>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In this context,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Sub>
      </m:oMath>
      <w:r w:rsidRPr="003355B8">
        <w:rPr>
          <w:rFonts w:ascii="Times New Roman" w:hAnsi="Times New Roman" w:cs="Times New Roman"/>
          <w:color w:val="auto"/>
          <w:sz w:val="20"/>
          <w:szCs w:val="24"/>
          <w:lang w:val="en-GB" w:eastAsia="de-DE"/>
        </w:rPr>
        <w:t xml:space="preserve"> depends on PIPs in term of maintenance cost and has a positive relationship with the capacity of users to create resource flows. </w:t>
      </w:r>
      <w:r w:rsidR="00207C74" w:rsidRPr="003355B8">
        <w:rPr>
          <w:rFonts w:ascii="Times New Roman" w:hAnsi="Times New Roman" w:cs="Times New Roman"/>
          <w:color w:val="auto"/>
          <w:sz w:val="20"/>
          <w:szCs w:val="24"/>
          <w:lang w:val="en-GB" w:eastAsia="de-DE"/>
        </w:rPr>
        <w:t xml:space="preserve">Eq. </w:t>
      </w:r>
      <w:r w:rsidRPr="003355B8">
        <w:rPr>
          <w:rFonts w:ascii="Times New Roman" w:hAnsi="Times New Roman" w:cs="Times New Roman"/>
          <w:color w:val="auto"/>
          <w:sz w:val="20"/>
          <w:szCs w:val="24"/>
          <w:lang w:val="en-GB" w:eastAsia="de-DE"/>
        </w:rPr>
        <w:t>(</w:t>
      </w:r>
      <w:r w:rsidR="000A0C0D" w:rsidRPr="003355B8">
        <w:rPr>
          <w:rFonts w:ascii="Times New Roman" w:hAnsi="Times New Roman" w:cs="Times New Roman"/>
          <w:color w:val="auto"/>
          <w:sz w:val="20"/>
          <w:szCs w:val="24"/>
          <w:lang w:val="en-GB" w:eastAsia="de-DE"/>
        </w:rPr>
        <w:t>A</w:t>
      </w:r>
      <w:r w:rsidRPr="003355B8">
        <w:rPr>
          <w:rFonts w:ascii="Times New Roman" w:hAnsi="Times New Roman" w:cs="Times New Roman"/>
          <w:color w:val="auto"/>
          <w:sz w:val="20"/>
          <w:szCs w:val="24"/>
          <w:lang w:val="en-GB" w:eastAsia="de-DE"/>
        </w:rPr>
        <w:t xml:space="preserve">1) illustrates the dynamics of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Sub>
      </m:oMath>
      <w:r w:rsidRPr="003355B8">
        <w:rPr>
          <w:rFonts w:ascii="Times New Roman" w:hAnsi="Times New Roman" w:cs="Times New Roman"/>
          <w:color w:val="auto"/>
          <w:sz w:val="20"/>
          <w:szCs w:val="24"/>
          <w:lang w:val="en-GB" w:eastAsia="de-DE"/>
        </w:rPr>
        <w:t xml:space="preserve"> as follows:</w:t>
      </w:r>
    </w:p>
    <w:p w14:paraId="4310A892" w14:textId="73EC94FB" w:rsidR="004A25E8" w:rsidRPr="003355B8" w:rsidRDefault="00586A79" w:rsidP="00027B6D">
      <w:pPr>
        <w:bidi/>
        <w:spacing w:after="120" w:line="360" w:lineRule="auto"/>
        <w:rPr>
          <w:rFonts w:ascii="Times New Roman" w:hAnsi="Times New Roman" w:cs="Times New Roman"/>
          <w:color w:val="auto"/>
          <w:sz w:val="24"/>
          <w:szCs w:val="24"/>
        </w:rPr>
      </w:pPr>
      <m:oMath>
        <m:f>
          <m:fPr>
            <m:ctrlPr>
              <w:rPr>
                <w:rFonts w:ascii="Cambria Math" w:hAnsi="Cambria Math" w:cs="Cambria Math"/>
                <w:i/>
                <w:color w:val="auto"/>
                <w:sz w:val="20"/>
                <w:szCs w:val="20"/>
              </w:rPr>
            </m:ctrlPr>
          </m:fPr>
          <m:num>
            <m:r>
              <w:rPr>
                <w:rFonts w:ascii="Cambria Math" w:hAnsi="Cambria Math" w:cs="Cambria Math"/>
                <w:color w:val="auto"/>
                <w:sz w:val="20"/>
                <w:szCs w:val="20"/>
              </w:rPr>
              <m:t>d</m:t>
            </m:r>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HM</m:t>
                </m:r>
              </m:sub>
            </m:sSub>
          </m:num>
          <m:den>
            <m:r>
              <w:rPr>
                <w:rFonts w:ascii="Cambria Math" w:hAnsi="Cambria Math" w:cs="Cambria Math"/>
                <w:color w:val="auto"/>
                <w:sz w:val="20"/>
                <w:szCs w:val="20"/>
              </w:rPr>
              <m:t>dt</m:t>
            </m:r>
          </m:den>
        </m:f>
        <m:r>
          <w:rPr>
            <w:rFonts w:ascii="Cambria Math" w:hAnsi="Cambria Math" w:cs="Cambria Math"/>
            <w:color w:val="auto"/>
            <w:sz w:val="20"/>
            <w:szCs w:val="20"/>
          </w:rPr>
          <m:t>=M</m:t>
        </m:r>
        <m:d>
          <m:dPr>
            <m:ctrlPr>
              <w:rPr>
                <w:rFonts w:ascii="Cambria Math" w:hAnsi="Cambria Math" w:cs="Cambria Math"/>
                <w:i/>
                <w:color w:val="auto"/>
                <w:sz w:val="20"/>
                <w:szCs w:val="20"/>
              </w:rPr>
            </m:ctrlPr>
          </m:dPr>
          <m:e>
            <m:r>
              <w:rPr>
                <w:rFonts w:ascii="Cambria Math" w:hAnsi="Cambria Math" w:cs="Cambria Math"/>
                <w:color w:val="auto"/>
                <w:sz w:val="20"/>
                <w:szCs w:val="20"/>
              </w:rPr>
              <m:t>…</m:t>
            </m:r>
          </m:e>
        </m:d>
        <m:r>
          <w:rPr>
            <w:rFonts w:ascii="Cambria Math" w:hAnsi="Cambria Math" w:cs="Cambria Math"/>
            <w:color w:val="auto"/>
            <w:sz w:val="20"/>
            <w:szCs w:val="20"/>
          </w:rPr>
          <m:t>-δH</m:t>
        </m:r>
        <m:d>
          <m:dPr>
            <m:ctrlPr>
              <w:rPr>
                <w:rFonts w:ascii="Cambria Math" w:hAnsi="Cambria Math" w:cs="Cambria Math"/>
                <w:i/>
                <w:color w:val="auto"/>
                <w:sz w:val="20"/>
                <w:szCs w:val="20"/>
              </w:rPr>
            </m:ctrlPr>
          </m:dPr>
          <m:e>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HM</m:t>
                </m:r>
              </m:sub>
            </m:sSub>
          </m:e>
        </m:d>
        <m:r>
          <w:rPr>
            <w:rFonts w:ascii="Cambria Math" w:hAnsi="Cambria Math" w:cs="Cambria Math"/>
            <w:color w:val="auto"/>
            <w:sz w:val="20"/>
            <w:szCs w:val="20"/>
          </w:rPr>
          <m:t xml:space="preserve">,                                                                     </m:t>
        </m:r>
        <m:r>
          <m:rPr>
            <m:sty m:val="p"/>
          </m:rPr>
          <w:rPr>
            <w:rFonts w:ascii="Cambria Math" w:hAnsi="Cambria Math" w:cs="Times New Roman"/>
            <w:color w:val="auto"/>
            <w:sz w:val="20"/>
            <w:szCs w:val="24"/>
            <w:lang w:val="en-GB" w:eastAsia="de-DE"/>
          </w:rPr>
          <m:t>(A1)</m:t>
        </m:r>
      </m:oMath>
      <w:r w:rsidR="004A25E8" w:rsidRPr="003355B8">
        <w:rPr>
          <w:rFonts w:ascii="Times New Roman" w:hAnsi="Times New Roman" w:cs="Times New Roman"/>
          <w:color w:val="auto"/>
          <w:sz w:val="24"/>
          <w:szCs w:val="24"/>
        </w:rPr>
        <w:tab/>
      </w:r>
      <w:r w:rsidR="004A25E8" w:rsidRPr="003355B8">
        <w:rPr>
          <w:rFonts w:ascii="Times New Roman" w:hAnsi="Times New Roman" w:cs="Times New Roman"/>
          <w:color w:val="auto"/>
          <w:sz w:val="24"/>
          <w:szCs w:val="24"/>
        </w:rPr>
        <w:tab/>
      </w:r>
      <w:r w:rsidR="004A25E8" w:rsidRPr="003355B8">
        <w:rPr>
          <w:rFonts w:ascii="Times New Roman" w:hAnsi="Times New Roman" w:cs="Times New Roman"/>
          <w:color w:val="auto"/>
          <w:sz w:val="24"/>
          <w:szCs w:val="24"/>
        </w:rPr>
        <w:tab/>
      </w:r>
      <w:r w:rsidR="004A25E8" w:rsidRPr="003355B8">
        <w:rPr>
          <w:rFonts w:ascii="Times New Roman" w:hAnsi="Times New Roman" w:cs="Times New Roman"/>
          <w:color w:val="auto"/>
          <w:sz w:val="24"/>
          <w:szCs w:val="24"/>
        </w:rPr>
        <w:tab/>
      </w:r>
      <w:r w:rsidR="004A25E8" w:rsidRPr="003355B8">
        <w:rPr>
          <w:rFonts w:ascii="Times New Roman" w:hAnsi="Times New Roman" w:cs="Times New Roman"/>
          <w:color w:val="auto"/>
          <w:sz w:val="24"/>
          <w:szCs w:val="24"/>
        </w:rPr>
        <w:tab/>
      </w:r>
      <w:r w:rsidR="004A25E8" w:rsidRPr="003355B8">
        <w:rPr>
          <w:rFonts w:ascii="Times New Roman" w:hAnsi="Times New Roman" w:cs="Times New Roman"/>
          <w:color w:val="auto"/>
          <w:sz w:val="24"/>
          <w:szCs w:val="24"/>
        </w:rPr>
        <w:tab/>
      </w:r>
    </w:p>
    <w:p w14:paraId="711FD3E2" w14:textId="025DA2D5" w:rsidR="004A25E8" w:rsidRPr="003355B8" w:rsidRDefault="004A25E8" w:rsidP="00F211D8">
      <w:pPr>
        <w:spacing w:after="120" w:line="360" w:lineRule="auto"/>
        <w:jc w:val="both"/>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where, </w:t>
      </w:r>
      <m:oMath>
        <m:r>
          <w:rPr>
            <w:rFonts w:ascii="Cambria Math" w:hAnsi="Cambria Math" w:cs="Cambria Math"/>
            <w:color w:val="auto"/>
            <w:sz w:val="20"/>
            <w:szCs w:val="24"/>
            <w:lang w:val="en-GB" w:eastAsia="de-DE"/>
          </w:rPr>
          <m:t>δ</m:t>
        </m:r>
      </m:oMath>
      <w:r w:rsidRPr="003355B8">
        <w:rPr>
          <w:rFonts w:ascii="Times New Roman" w:hAnsi="Times New Roman" w:cs="Times New Roman"/>
          <w:color w:val="auto"/>
          <w:sz w:val="20"/>
          <w:szCs w:val="24"/>
          <w:lang w:val="en-GB" w:eastAsia="de-DE"/>
        </w:rPr>
        <w:t xml:space="preserve"> is the infrastructure’s depreciation rate and </w:t>
      </w:r>
      <m:oMath>
        <m:r>
          <w:rPr>
            <w:rFonts w:ascii="Cambria Math" w:hAnsi="Cambria Math" w:cs="Cambria Math"/>
            <w:color w:val="auto"/>
            <w:sz w:val="20"/>
            <w:szCs w:val="24"/>
            <w:lang w:val="en-GB" w:eastAsia="de-DE"/>
          </w:rPr>
          <m:t>H</m:t>
        </m:r>
        <m:r>
          <m:rPr>
            <m:sty m:val="p"/>
          </m:rPr>
          <w:rPr>
            <w:rFonts w:ascii="Cambria Math" w:hAnsi="Cambria Math" w:cs="Times New Roman"/>
            <w:color w:val="auto"/>
            <w:sz w:val="20"/>
            <w:szCs w:val="24"/>
            <w:lang w:val="en-GB" w:eastAsia="de-DE"/>
          </w:rPr>
          <m:t>(</m:t>
        </m:r>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Sub>
        <m:r>
          <m:rPr>
            <m:sty m:val="p"/>
          </m:rPr>
          <w:rPr>
            <w:rFonts w:ascii="Cambria Math" w:hAnsi="Cambria Math" w:cs="Times New Roman"/>
            <w:color w:val="auto"/>
            <w:sz w:val="20"/>
            <w:szCs w:val="24"/>
            <w:lang w:val="en-GB" w:eastAsia="de-DE"/>
          </w:rPr>
          <m:t>)</m:t>
        </m:r>
      </m:oMath>
      <w:r w:rsidRPr="003355B8">
        <w:rPr>
          <w:rFonts w:ascii="Times New Roman" w:hAnsi="Times New Roman" w:cs="Times New Roman"/>
          <w:color w:val="auto"/>
          <w:sz w:val="20"/>
          <w:szCs w:val="24"/>
          <w:lang w:val="en-GB" w:eastAsia="de-DE"/>
        </w:rPr>
        <w:t xml:space="preserve"> states functional relationship of public infrastructure and productivity of each resource user. </w:t>
      </w:r>
      <w:bookmarkStart w:id="15" w:name="_Hlk510772722"/>
      <w:r w:rsidRPr="003355B8">
        <w:rPr>
          <w:rFonts w:ascii="Times New Roman" w:hAnsi="Times New Roman" w:cs="Times New Roman"/>
          <w:color w:val="auto"/>
          <w:sz w:val="20"/>
          <w:szCs w:val="24"/>
          <w:lang w:val="en-GB" w:eastAsia="de-DE"/>
        </w:rPr>
        <w:t xml:space="preserve">According to </w:t>
      </w:r>
      <w:r w:rsidR="000E17FF" w:rsidRPr="003355B8">
        <w:rPr>
          <w:rStyle w:val="FootnoteReference"/>
          <w:rFonts w:ascii="Times New Roman" w:hAnsi="Times New Roman" w:cs="Times New Roman"/>
          <w:color w:val="auto"/>
          <w:sz w:val="20"/>
          <w:szCs w:val="24"/>
          <w:lang w:val="en-GB" w:eastAsia="de-DE"/>
        </w:rPr>
        <w:fldChar w:fldCharType="begin" w:fldLock="1"/>
      </w:r>
      <w:r w:rsidR="0011373D" w:rsidRPr="003355B8">
        <w:rPr>
          <w:rFonts w:ascii="Times New Roman" w:hAnsi="Times New Roman" w:cs="Times New Roman"/>
          <w:color w:val="auto"/>
          <w:sz w:val="20"/>
          <w:szCs w:val="24"/>
          <w:lang w:val="en-GB" w:eastAsia="de-DE"/>
        </w:rPr>
        <w:instrText>ADDIN CSL_CITATION { "citationItems" : [ { "id" : "ITEM-1", "itemData" : { "DOI" : "10.1002/2017EF000562", "ISSN" : "23284277", "author" : [ { "dropping-particle" : "", "family" : "Muneepeerakul", "given" : "Rachata", "non-dropping-particle" : "", "parse-names" : false, "suffix" : "" }, { "dropping-particle" : "", "family" : "Anderies", "given" : "John M.", "non-dropping-particle" : "", "parse-names" : false, "suffix" : "" } ], "container-title" : "Earth's Future", "id" : "ITEM-1", "issue" : "8", "issued" : { "date-parts" : [ [ "2017", "8", "1" ] ] }, "page" : "865-876", "publisher" : "Wiley Periodicals, Inc.", "title" : "Strategic behaviors and governance challenges in social-ecological systems", "type" : "article-journal", "volume" : "5" }, "uris" : [ "http://www.mendeley.com/documents/?uuid=47bc3b3d-f4be-3cc5-a88e-78968dc05228" ] } ], "mendeley" : { "formattedCitation" : "(Muneepeerakul and Anderies)", "manualFormatting" : "Muneepeerakul and Anderies (2017)", "plainTextFormattedCitation" : "(Muneepeerakul and Anderies)", "previouslyFormattedCitation" : "(Muneepeerakul and Anderies)" }, "properties" : { "noteIndex" : 0 }, "schema" : "https://github.com/citation-style-language/schema/raw/master/csl-citation.json" }</w:instrText>
      </w:r>
      <w:r w:rsidR="000E17FF" w:rsidRPr="003355B8">
        <w:rPr>
          <w:rStyle w:val="FootnoteReference"/>
          <w:rFonts w:ascii="Times New Roman" w:hAnsi="Times New Roman" w:cs="Times New Roman"/>
          <w:color w:val="auto"/>
          <w:sz w:val="20"/>
          <w:szCs w:val="24"/>
          <w:lang w:val="en-GB" w:eastAsia="de-DE"/>
        </w:rPr>
        <w:fldChar w:fldCharType="separate"/>
      </w:r>
      <w:r w:rsidR="000E17FF" w:rsidRPr="003355B8">
        <w:rPr>
          <w:rFonts w:ascii="Times New Roman" w:hAnsi="Times New Roman" w:cs="Times New Roman"/>
          <w:noProof/>
          <w:color w:val="auto"/>
          <w:sz w:val="20"/>
          <w:szCs w:val="24"/>
          <w:lang w:val="en-GB" w:eastAsia="de-DE"/>
        </w:rPr>
        <w:t>Muneepeerakul and Anderies (2017)</w:t>
      </w:r>
      <w:r w:rsidR="000E17FF" w:rsidRPr="003355B8">
        <w:rPr>
          <w:rStyle w:val="FootnoteReference"/>
          <w:rFonts w:ascii="Times New Roman" w:hAnsi="Times New Roman" w:cs="Times New Roman"/>
          <w:color w:val="auto"/>
          <w:sz w:val="20"/>
          <w:szCs w:val="24"/>
          <w:lang w:val="en-GB" w:eastAsia="de-DE"/>
        </w:rPr>
        <w:fldChar w:fldCharType="end"/>
      </w:r>
      <w:r w:rsidRPr="003355B8">
        <w:rPr>
          <w:rFonts w:ascii="Times New Roman" w:hAnsi="Times New Roman" w:cs="Times New Roman"/>
          <w:color w:val="auto"/>
          <w:sz w:val="20"/>
          <w:szCs w:val="24"/>
          <w:lang w:val="en-GB" w:eastAsia="de-DE"/>
        </w:rPr>
        <w:t xml:space="preserve"> many shared infrastructures can be </w:t>
      </w:r>
      <w:proofErr w:type="spellStart"/>
      <w:r w:rsidRPr="003355B8">
        <w:rPr>
          <w:rFonts w:ascii="Times New Roman" w:hAnsi="Times New Roman" w:cs="Times New Roman"/>
          <w:color w:val="auto"/>
          <w:sz w:val="20"/>
          <w:szCs w:val="24"/>
          <w:lang w:val="en-GB" w:eastAsia="de-DE"/>
        </w:rPr>
        <w:t>modeled</w:t>
      </w:r>
      <w:proofErr w:type="spellEnd"/>
      <w:r w:rsidRPr="003355B8">
        <w:rPr>
          <w:rFonts w:ascii="Times New Roman" w:hAnsi="Times New Roman" w:cs="Times New Roman"/>
          <w:color w:val="auto"/>
          <w:sz w:val="20"/>
          <w:szCs w:val="24"/>
          <w:lang w:val="en-GB" w:eastAsia="de-DE"/>
        </w:rPr>
        <w:t xml:space="preserve"> by threshold functions. </w:t>
      </w:r>
      <w:bookmarkEnd w:id="15"/>
      <w:r w:rsidRPr="003355B8">
        <w:rPr>
          <w:rFonts w:ascii="Times New Roman" w:hAnsi="Times New Roman" w:cs="Times New Roman"/>
          <w:color w:val="auto"/>
          <w:sz w:val="20"/>
          <w:szCs w:val="24"/>
          <w:lang w:val="en-GB" w:eastAsia="de-DE"/>
        </w:rPr>
        <w:t xml:space="preserve">Given that </w:t>
      </w:r>
      <m:oMath>
        <m:r>
          <w:rPr>
            <w:rFonts w:ascii="Cambria Math" w:hAnsi="Cambria Math" w:cs="Cambria Math"/>
            <w:color w:val="auto"/>
            <w:sz w:val="20"/>
            <w:szCs w:val="24"/>
            <w:lang w:val="en-GB" w:eastAsia="de-DE"/>
          </w:rPr>
          <m:t>H</m:t>
        </m:r>
        <m:r>
          <m:rPr>
            <m:sty m:val="p"/>
          </m:rPr>
          <w:rPr>
            <w:rFonts w:ascii="Cambria Math" w:hAnsi="Cambria Math" w:cs="Times New Roman"/>
            <w:color w:val="auto"/>
            <w:sz w:val="20"/>
            <w:szCs w:val="24"/>
            <w:lang w:val="en-GB" w:eastAsia="de-DE"/>
          </w:rPr>
          <m:t>(</m:t>
        </m:r>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Sub>
        <m:r>
          <m:rPr>
            <m:sty m:val="p"/>
          </m:rPr>
          <w:rPr>
            <w:rFonts w:ascii="Cambria Math" w:hAnsi="Cambria Math" w:cs="Times New Roman"/>
            <w:color w:val="auto"/>
            <w:sz w:val="20"/>
            <w:szCs w:val="24"/>
            <w:lang w:val="en-GB" w:eastAsia="de-DE"/>
          </w:rPr>
          <m:t>)</m:t>
        </m:r>
      </m:oMath>
      <w:r w:rsidRPr="003355B8">
        <w:rPr>
          <w:rFonts w:ascii="Times New Roman" w:hAnsi="Times New Roman" w:cs="Times New Roman"/>
          <w:color w:val="auto"/>
          <w:sz w:val="20"/>
          <w:szCs w:val="24"/>
          <w:lang w:val="en-GB" w:eastAsia="de-DE"/>
        </w:rPr>
        <w:t xml:space="preserve"> shows threshold behavior, they used a piecewise linear function to capture such behavior through Eq. (</w:t>
      </w:r>
      <w:r w:rsidR="000A0C0D" w:rsidRPr="003355B8">
        <w:rPr>
          <w:rFonts w:ascii="Times New Roman" w:hAnsi="Times New Roman" w:cs="Times New Roman"/>
          <w:color w:val="auto"/>
          <w:sz w:val="20"/>
          <w:szCs w:val="24"/>
          <w:lang w:val="en-GB" w:eastAsia="de-DE"/>
        </w:rPr>
        <w:t>A</w:t>
      </w:r>
      <w:r w:rsidRPr="003355B8">
        <w:rPr>
          <w:rFonts w:ascii="Times New Roman" w:hAnsi="Times New Roman" w:cs="Times New Roman"/>
          <w:color w:val="auto"/>
          <w:sz w:val="20"/>
          <w:szCs w:val="24"/>
          <w:lang w:val="en-GB" w:eastAsia="de-DE"/>
        </w:rPr>
        <w:t xml:space="preserve">2). </w:t>
      </w:r>
    </w:p>
    <w:p w14:paraId="0E65633F" w14:textId="5E8763DD" w:rsidR="00514F1C" w:rsidRPr="003355B8" w:rsidRDefault="003A0B40" w:rsidP="00525526">
      <w:pPr>
        <w:tabs>
          <w:tab w:val="left" w:pos="720"/>
          <w:tab w:val="left" w:pos="1440"/>
          <w:tab w:val="left" w:pos="2160"/>
          <w:tab w:val="left" w:pos="2880"/>
          <w:tab w:val="left" w:pos="3600"/>
          <w:tab w:val="left" w:pos="4320"/>
          <w:tab w:val="center" w:pos="4680"/>
          <w:tab w:val="left" w:pos="5040"/>
          <w:tab w:val="left" w:pos="5760"/>
          <w:tab w:val="left" w:pos="6480"/>
          <w:tab w:val="right" w:pos="9360"/>
        </w:tabs>
        <w:spacing w:after="120" w:line="360" w:lineRule="auto"/>
        <w:jc w:val="right"/>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lastRenderedPageBreak/>
        <w:tab/>
      </w:r>
      <m:oMath>
        <m:sSub>
          <m:sSubPr>
            <m:ctrlPr>
              <w:rPr>
                <w:rFonts w:ascii="Cambria Math" w:hAnsi="Cambria Math" w:cs="Cambria Math"/>
                <w:i/>
                <w:color w:val="auto"/>
                <w:sz w:val="20"/>
                <w:szCs w:val="20"/>
              </w:rPr>
            </m:ctrlPr>
          </m:sSubPr>
          <m:e>
            <m:r>
              <w:rPr>
                <w:rFonts w:ascii="Cambria Math" w:hAnsi="Cambria Math" w:cs="Cambria Math"/>
                <w:color w:val="auto"/>
                <w:sz w:val="20"/>
                <w:szCs w:val="20"/>
              </w:rPr>
              <m:t>H(I</m:t>
            </m:r>
          </m:e>
          <m:sub>
            <m:r>
              <w:rPr>
                <w:rFonts w:ascii="Cambria Math" w:hAnsi="Cambria Math" w:cs="Cambria Math"/>
                <w:color w:val="auto"/>
                <w:sz w:val="20"/>
                <w:szCs w:val="20"/>
              </w:rPr>
              <m:t>HM</m:t>
            </m:r>
          </m:sub>
        </m:sSub>
        <m:r>
          <w:rPr>
            <w:rFonts w:ascii="Cambria Math" w:hAnsi="Cambria Math" w:cs="Cambria Math"/>
            <w:color w:val="auto"/>
            <w:sz w:val="20"/>
            <w:szCs w:val="20"/>
          </w:rPr>
          <m:t>)=</m:t>
        </m:r>
        <m:d>
          <m:dPr>
            <m:begChr m:val="{"/>
            <m:endChr m:val=""/>
            <m:ctrlPr>
              <w:rPr>
                <w:rFonts w:ascii="Cambria Math" w:hAnsi="Cambria Math" w:cs="Times New Roman"/>
                <w:i/>
                <w:color w:val="auto"/>
                <w:sz w:val="20"/>
                <w:szCs w:val="24"/>
                <w:lang w:val="en-GB" w:eastAsia="de-DE"/>
              </w:rPr>
            </m:ctrlPr>
          </m:dPr>
          <m:e>
            <m:eqArr>
              <m:eqArrPr>
                <m:ctrlPr>
                  <w:rPr>
                    <w:rFonts w:ascii="Cambria Math" w:hAnsi="Cambria Math" w:cs="Times New Roman"/>
                    <w:i/>
                    <w:color w:val="auto"/>
                    <w:sz w:val="20"/>
                    <w:szCs w:val="24"/>
                    <w:lang w:val="en-GB" w:eastAsia="de-DE"/>
                  </w:rPr>
                </m:ctrlPr>
              </m:eqArrPr>
              <m:e>
                <m:r>
                  <w:rPr>
                    <w:rFonts w:ascii="Cambria Math" w:hAnsi="Cambria Math" w:cs="Cambria Math"/>
                    <w:color w:val="auto"/>
                    <w:sz w:val="20"/>
                    <w:szCs w:val="20"/>
                  </w:rPr>
                  <m:t xml:space="preserve">0,                        </m:t>
                </m:r>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HM</m:t>
                    </m:r>
                  </m:sub>
                </m:sSub>
                <m:r>
                  <w:rPr>
                    <w:rFonts w:ascii="Cambria Math" w:hAnsi="Cambria Math" w:cs="Cambria Math"/>
                    <w:color w:val="auto"/>
                    <w:sz w:val="20"/>
                    <w:szCs w:val="20"/>
                  </w:rPr>
                  <m:t>&lt;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0</m:t>
                    </m:r>
                  </m:sub>
                </m:sSub>
              </m:e>
              <m:e>
                <m:r>
                  <w:rPr>
                    <w:rFonts w:ascii="Cambria Math" w:hAnsi="Cambria Math" w:cs="Cambria Math"/>
                    <w:color w:val="auto"/>
                    <w:sz w:val="20"/>
                    <w:szCs w:val="20"/>
                  </w:rPr>
                  <m:t>h</m:t>
                </m:r>
                <m:f>
                  <m:fPr>
                    <m:ctrlPr>
                      <w:rPr>
                        <w:rFonts w:ascii="Cambria Math" w:hAnsi="Cambria Math" w:cs="Cambria Math"/>
                        <w:i/>
                        <w:color w:val="auto"/>
                        <w:sz w:val="20"/>
                        <w:szCs w:val="20"/>
                      </w:rPr>
                    </m:ctrlPr>
                  </m:fPr>
                  <m:num>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HM</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0</m:t>
                        </m:r>
                      </m:sub>
                    </m:sSub>
                  </m:num>
                  <m:den>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m</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0</m:t>
                        </m:r>
                      </m:sub>
                    </m:sSub>
                  </m:den>
                </m:f>
                <m:r>
                  <w:rPr>
                    <w:rFonts w:ascii="Cambria Math" w:hAnsi="Cambria Math" w:cs="Cambria Math"/>
                    <w:color w:val="auto"/>
                    <w:sz w:val="20"/>
                    <w:szCs w:val="20"/>
                  </w:rPr>
                  <m:t xml:space="preserve">,               </m:t>
                </m:r>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0</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HM</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m</m:t>
                    </m:r>
                  </m:sub>
                </m:sSub>
              </m:e>
              <m:e>
                <m:r>
                  <w:rPr>
                    <w:rFonts w:ascii="Cambria Math" w:hAnsi="Cambria Math" w:cs="Cambria Math"/>
                    <w:color w:val="auto"/>
                    <w:sz w:val="20"/>
                    <w:szCs w:val="20"/>
                  </w:rPr>
                  <m:t xml:space="preserve">h,                      </m:t>
                </m:r>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HM</m:t>
                    </m:r>
                  </m:sub>
                </m:sSub>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m</m:t>
                    </m:r>
                  </m:sub>
                </m:sSub>
                <m:r>
                  <w:rPr>
                    <w:rFonts w:ascii="Cambria Math" w:hAnsi="Cambria Math" w:cs="Times New Roman"/>
                    <w:color w:val="auto"/>
                    <w:sz w:val="24"/>
                    <w:szCs w:val="24"/>
                  </w:rPr>
                  <m:t xml:space="preserve"> </m:t>
                </m:r>
              </m:e>
            </m:eqArr>
            <m:r>
              <w:rPr>
                <w:rFonts w:ascii="Cambria Math" w:hAnsi="Cambria Math" w:cs="Times New Roman"/>
                <w:color w:val="auto"/>
                <w:sz w:val="20"/>
                <w:szCs w:val="24"/>
                <w:lang w:val="en-GB" w:eastAsia="de-DE"/>
              </w:rPr>
              <m:t xml:space="preserve">,                                                     (A2)  </m:t>
            </m:r>
          </m:e>
        </m:d>
      </m:oMath>
    </w:p>
    <w:p w14:paraId="2DF391CA" w14:textId="2D4CB7B1" w:rsidR="004A25E8" w:rsidRPr="003355B8" w:rsidRDefault="004A25E8" w:rsidP="00514F1C">
      <w:pPr>
        <w:tabs>
          <w:tab w:val="left" w:pos="720"/>
          <w:tab w:val="left" w:pos="1440"/>
          <w:tab w:val="left" w:pos="2160"/>
          <w:tab w:val="left" w:pos="2880"/>
          <w:tab w:val="left" w:pos="3600"/>
          <w:tab w:val="left" w:pos="4320"/>
          <w:tab w:val="center" w:pos="4680"/>
          <w:tab w:val="left" w:pos="5040"/>
          <w:tab w:val="left" w:pos="5760"/>
          <w:tab w:val="left" w:pos="6480"/>
          <w:tab w:val="right" w:pos="9360"/>
        </w:tabs>
        <w:spacing w:after="120" w:line="360" w:lineRule="auto"/>
        <w:rPr>
          <w:rFonts w:ascii="Times New Roman" w:hAnsi="Times New Roman" w:cs="Times New Roman"/>
          <w:color w:val="auto"/>
          <w:sz w:val="20"/>
          <w:szCs w:val="24"/>
          <w:lang w:val="en-GB" w:eastAsia="de-DE"/>
        </w:rPr>
      </w:pPr>
      <w:r w:rsidRPr="003355B8">
        <w:rPr>
          <w:rFonts w:ascii="Times New Roman" w:hAnsi="Times New Roman" w:cs="Times New Roman"/>
          <w:color w:val="auto"/>
          <w:sz w:val="20"/>
          <w:szCs w:val="24"/>
          <w:lang w:val="en-GB" w:eastAsia="de-DE"/>
        </w:rPr>
        <w:t xml:space="preserve">where, </w:t>
      </w:r>
      <m:oMath>
        <m:r>
          <w:rPr>
            <w:rFonts w:ascii="Cambria Math" w:hAnsi="Cambria Math" w:cs="Cambria Math"/>
            <w:color w:val="auto"/>
            <w:sz w:val="20"/>
            <w:szCs w:val="24"/>
            <w:lang w:val="en-GB" w:eastAsia="de-DE"/>
          </w:rPr>
          <m:t>h</m:t>
        </m:r>
      </m:oMath>
      <w:r w:rsidRPr="003355B8">
        <w:rPr>
          <w:rFonts w:ascii="Times New Roman" w:hAnsi="Times New Roman" w:cs="Times New Roman"/>
          <w:color w:val="auto"/>
          <w:sz w:val="20"/>
          <w:szCs w:val="24"/>
          <w:lang w:val="en-GB" w:eastAsia="de-DE"/>
        </w:rPr>
        <w:t xml:space="preserve"> represents maximum amount of harvest by each user under no restriction and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I</m:t>
            </m:r>
          </m:e>
          <m:sub>
            <m:r>
              <m:rPr>
                <m:sty m:val="p"/>
              </m:rPr>
              <w:rPr>
                <w:rFonts w:ascii="Cambria Math" w:hAnsi="Cambria Math" w:cs="Cambria Math"/>
                <w:color w:val="auto"/>
                <w:sz w:val="20"/>
                <w:szCs w:val="24"/>
                <w:lang w:val="en-GB" w:eastAsia="de-DE"/>
              </w:rPr>
              <m:t>0</m:t>
            </m:r>
          </m:sub>
        </m:sSub>
      </m:oMath>
      <w:r w:rsidRPr="003355B8">
        <w:rPr>
          <w:rFonts w:ascii="Times New Roman" w:hAnsi="Times New Roman" w:cs="Times New Roman"/>
          <w:color w:val="auto"/>
          <w:sz w:val="20"/>
          <w:szCs w:val="24"/>
          <w:lang w:val="en-GB" w:eastAsia="de-DE"/>
        </w:rPr>
        <w:t xml:space="preserve"> and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m</m:t>
            </m:r>
          </m:sub>
        </m:sSub>
      </m:oMath>
      <w:r w:rsidRPr="003355B8">
        <w:rPr>
          <w:rFonts w:ascii="Times New Roman" w:hAnsi="Times New Roman" w:cs="Times New Roman"/>
          <w:color w:val="auto"/>
          <w:sz w:val="20"/>
          <w:szCs w:val="24"/>
          <w:lang w:val="en-GB" w:eastAsia="de-DE"/>
        </w:rPr>
        <w:t xml:space="preserve"> are lower bound and upper bound thresholds of </w:t>
      </w:r>
      <m:oMath>
        <m:sSub>
          <m:sSubPr>
            <m:ctrlPr>
              <w:rPr>
                <w:rFonts w:ascii="Cambria Math" w:hAnsi="Cambria Math" w:cs="Times New Roman"/>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Sub>
      </m:oMath>
      <w:r w:rsidRPr="003355B8">
        <w:rPr>
          <w:rFonts w:ascii="Times New Roman" w:hAnsi="Times New Roman" w:cs="Times New Roman"/>
          <w:color w:val="auto"/>
          <w:sz w:val="20"/>
          <w:szCs w:val="24"/>
          <w:lang w:val="en-GB" w:eastAsia="de-DE"/>
        </w:rPr>
        <w:t xml:space="preserve"> respectively. Also, </w:t>
      </w:r>
      <m:oMath>
        <m:r>
          <w:rPr>
            <w:rFonts w:ascii="Cambria Math" w:hAnsi="Cambria Math" w:cs="Cambria Math"/>
            <w:color w:val="auto"/>
            <w:sz w:val="20"/>
            <w:szCs w:val="24"/>
            <w:lang w:val="en-GB" w:eastAsia="de-DE"/>
          </w:rPr>
          <m:t>M</m:t>
        </m:r>
        <m:r>
          <m:rPr>
            <m:sty m:val="p"/>
          </m:rPr>
          <w:rPr>
            <w:rFonts w:ascii="Cambria Math" w:hAnsi="Cambria Math" w:cs="Times New Roman"/>
            <w:color w:val="auto"/>
            <w:sz w:val="20"/>
            <w:szCs w:val="24"/>
            <w:lang w:val="en-GB" w:eastAsia="de-DE"/>
          </w:rPr>
          <m:t>(</m:t>
        </m:r>
        <m:r>
          <m:rPr>
            <m:sty m:val="p"/>
          </m:rPr>
          <w:rPr>
            <w:rFonts w:ascii="Cambria Math" w:hAnsi="Cambria Math" w:cs="Cambria Math"/>
            <w:color w:val="auto"/>
            <w:sz w:val="20"/>
            <w:szCs w:val="24"/>
            <w:lang w:val="en-GB" w:eastAsia="de-DE"/>
          </w:rPr>
          <m:t>…</m:t>
        </m:r>
        <m:r>
          <m:rPr>
            <m:sty m:val="p"/>
          </m:rPr>
          <w:rPr>
            <w:rFonts w:ascii="Cambria Math" w:hAnsi="Cambria Math" w:cs="Times New Roman"/>
            <w:color w:val="auto"/>
            <w:sz w:val="20"/>
            <w:szCs w:val="24"/>
            <w:lang w:val="en-GB" w:eastAsia="de-DE"/>
          </w:rPr>
          <m:t>)</m:t>
        </m:r>
      </m:oMath>
      <w:r w:rsidRPr="003355B8">
        <w:rPr>
          <w:rFonts w:ascii="Times New Roman" w:hAnsi="Times New Roman" w:cs="Times New Roman"/>
          <w:color w:val="auto"/>
          <w:sz w:val="20"/>
          <w:szCs w:val="24"/>
          <w:lang w:val="en-GB" w:eastAsia="de-DE"/>
        </w:rPr>
        <w:t xml:space="preserve"> is maintenance function (Eq. </w:t>
      </w:r>
      <w:r w:rsidR="00B72C60" w:rsidRPr="003355B8">
        <w:rPr>
          <w:rFonts w:ascii="Times New Roman" w:hAnsi="Times New Roman" w:cs="Times New Roman"/>
          <w:color w:val="auto"/>
          <w:sz w:val="20"/>
          <w:szCs w:val="24"/>
          <w:lang w:val="en-GB" w:eastAsia="de-DE"/>
        </w:rPr>
        <w:t>A</w:t>
      </w:r>
      <w:r w:rsidRPr="003355B8">
        <w:rPr>
          <w:rFonts w:ascii="Times New Roman" w:hAnsi="Times New Roman" w:cs="Times New Roman"/>
          <w:color w:val="auto"/>
          <w:sz w:val="20"/>
          <w:szCs w:val="24"/>
          <w:lang w:val="en-GB" w:eastAsia="de-DE"/>
        </w:rPr>
        <w:t>3) and depends on social structure of the system.</w:t>
      </w:r>
    </w:p>
    <w:p w14:paraId="742CCFF7" w14:textId="173B9410" w:rsidR="004A25E8" w:rsidRPr="003355B8" w:rsidRDefault="00550B17" w:rsidP="00550B17">
      <w:pPr>
        <w:bidi/>
        <w:spacing w:after="120" w:line="360" w:lineRule="auto"/>
        <w:jc w:val="both"/>
        <w:rPr>
          <w:rFonts w:ascii="Times New Roman" w:hAnsi="Times New Roman" w:cs="Times New Roman"/>
          <w:color w:val="auto"/>
          <w:sz w:val="20"/>
          <w:szCs w:val="24"/>
          <w:lang w:val="en-GB" w:eastAsia="de-DE"/>
        </w:rPr>
      </w:pPr>
      <m:oMath>
        <m:r>
          <w:rPr>
            <w:rFonts w:ascii="Cambria Math" w:hAnsi="Cambria Math" w:cs="Cambria Math"/>
            <w:color w:val="auto"/>
            <w:sz w:val="20"/>
            <w:szCs w:val="20"/>
          </w:rPr>
          <m:t>M</m:t>
        </m:r>
        <m:d>
          <m:dPr>
            <m:ctrlPr>
              <w:rPr>
                <w:rFonts w:ascii="Cambria Math" w:hAnsi="Cambria Math" w:cs="Cambria Math"/>
                <w:i/>
                <w:color w:val="auto"/>
                <w:sz w:val="20"/>
                <w:szCs w:val="20"/>
              </w:rPr>
            </m:ctrlPr>
          </m:dPr>
          <m:e>
            <m:r>
              <w:rPr>
                <w:rFonts w:ascii="Cambria Math" w:hAnsi="Cambria Math" w:cs="Cambria Math"/>
                <w:color w:val="auto"/>
                <w:sz w:val="20"/>
                <w:szCs w:val="20"/>
              </w:rPr>
              <m:t>…</m:t>
            </m:r>
          </m:e>
        </m:d>
        <m:r>
          <w:rPr>
            <w:rFonts w:ascii="Cambria Math" w:hAnsi="Cambria Math" w:cs="Cambria Math"/>
            <w:color w:val="auto"/>
            <w:sz w:val="20"/>
            <w:szCs w:val="20"/>
          </w:rPr>
          <m:t>=</m:t>
        </m:r>
        <m:sSub>
          <m:sSubPr>
            <m:ctrlPr>
              <w:rPr>
                <w:rFonts w:ascii="Cambria Math" w:hAnsi="Cambria Math" w:cs="Cambria Math"/>
                <w:i/>
                <w:color w:val="auto"/>
                <w:sz w:val="20"/>
                <w:szCs w:val="20"/>
              </w:rPr>
            </m:ctrlPr>
          </m:sSubPr>
          <m:e>
            <m:r>
              <w:rPr>
                <w:rFonts w:ascii="Cambria Math" w:hAnsi="Cambria Math" w:cs="Cambria Math"/>
                <w:color w:val="auto"/>
                <w:sz w:val="20"/>
                <w:szCs w:val="20"/>
              </w:rPr>
              <m:t>μ</m:t>
            </m:r>
          </m:e>
          <m:sub>
            <m:r>
              <w:rPr>
                <w:rFonts w:ascii="Cambria Math" w:hAnsi="Cambria Math" w:cs="Cambria Math"/>
                <w:color w:val="auto"/>
                <w:sz w:val="20"/>
                <w:szCs w:val="20"/>
              </w:rPr>
              <m:t>2</m:t>
            </m:r>
          </m:sub>
        </m:sSub>
        <m:r>
          <w:rPr>
            <w:rFonts w:ascii="Cambria Math" w:hAnsi="Cambria Math" w:cs="Cambria Math"/>
            <w:color w:val="auto"/>
            <w:sz w:val="20"/>
            <w:szCs w:val="20"/>
          </w:rPr>
          <m:t>yCpNRUH</m:t>
        </m:r>
        <m:d>
          <m:dPr>
            <m:ctrlPr>
              <w:rPr>
                <w:rFonts w:ascii="Cambria Math" w:hAnsi="Cambria Math" w:cs="Cambria Math"/>
                <w:i/>
                <w:color w:val="auto"/>
                <w:sz w:val="20"/>
                <w:szCs w:val="20"/>
              </w:rPr>
            </m:ctrlPr>
          </m:dPr>
          <m:e>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HM</m:t>
                </m:r>
              </m:sub>
            </m:sSub>
          </m:e>
        </m:d>
        <m:r>
          <w:rPr>
            <w:rFonts w:ascii="Cambria Math" w:hAnsi="Cambria Math" w:cs="Cambria Math"/>
            <w:color w:val="auto"/>
            <w:sz w:val="20"/>
            <w:szCs w:val="20"/>
          </w:rPr>
          <m:t xml:space="preserve">,                                                                     </m:t>
        </m:r>
        <m:r>
          <m:rPr>
            <m:sty m:val="p"/>
          </m:rPr>
          <w:rPr>
            <w:rFonts w:ascii="Cambria Math" w:hAnsi="Cambria Math" w:cs="Times New Roman"/>
            <w:color w:val="auto"/>
            <w:sz w:val="20"/>
            <w:szCs w:val="24"/>
            <w:lang w:val="en-GB" w:eastAsia="de-DE"/>
          </w:rPr>
          <m:t>(A3)</m:t>
        </m:r>
      </m:oMath>
      <w:r w:rsidR="00514F1C" w:rsidRPr="003355B8">
        <w:rPr>
          <w:rFonts w:ascii="Times New Roman" w:hAnsi="Times New Roman" w:cs="Times New Roman"/>
          <w:color w:val="auto"/>
          <w:sz w:val="20"/>
          <w:szCs w:val="20"/>
        </w:rPr>
        <w:tab/>
      </w:r>
      <w:r w:rsidR="00514F1C" w:rsidRPr="003355B8">
        <w:rPr>
          <w:rFonts w:ascii="Times New Roman" w:hAnsi="Times New Roman" w:cs="Times New Roman"/>
          <w:color w:val="auto"/>
          <w:sz w:val="20"/>
          <w:szCs w:val="20"/>
        </w:rPr>
        <w:tab/>
      </w:r>
      <w:r w:rsidR="00514F1C" w:rsidRPr="003355B8">
        <w:rPr>
          <w:rFonts w:ascii="Times New Roman" w:hAnsi="Times New Roman" w:cs="Times New Roman"/>
          <w:color w:val="auto"/>
          <w:sz w:val="20"/>
          <w:szCs w:val="20"/>
        </w:rPr>
        <w:tab/>
      </w:r>
      <w:r w:rsidR="00514F1C" w:rsidRPr="003355B8">
        <w:rPr>
          <w:rFonts w:ascii="Times New Roman" w:hAnsi="Times New Roman" w:cs="Times New Roman"/>
          <w:color w:val="auto"/>
          <w:sz w:val="20"/>
          <w:szCs w:val="20"/>
        </w:rPr>
        <w:tab/>
      </w:r>
      <w:r w:rsidR="00514F1C" w:rsidRPr="003355B8">
        <w:rPr>
          <w:rFonts w:ascii="Times New Roman" w:hAnsi="Times New Roman" w:cs="Times New Roman"/>
          <w:color w:val="auto"/>
          <w:sz w:val="20"/>
          <w:szCs w:val="20"/>
        </w:rPr>
        <w:tab/>
      </w:r>
    </w:p>
    <w:p w14:paraId="763331E9" w14:textId="2F736FAA" w:rsidR="004A25E8" w:rsidRPr="003355B8" w:rsidRDefault="004A25E8" w:rsidP="00F211D8">
      <w:pPr>
        <w:spacing w:after="120" w:line="360" w:lineRule="auto"/>
        <w:jc w:val="both"/>
        <w:rPr>
          <w:rFonts w:ascii="Times" w:hAnsi="Times" w:cs="Cambria Math"/>
          <w:color w:val="auto"/>
          <w:sz w:val="20"/>
          <w:szCs w:val="24"/>
          <w:lang w:val="en-GB" w:eastAsia="de-DE"/>
        </w:rPr>
      </w:pPr>
      <w:r w:rsidRPr="003355B8">
        <w:rPr>
          <w:rFonts w:ascii="Times" w:hAnsi="Times" w:cs="Times New Roman"/>
          <w:color w:val="auto"/>
          <w:sz w:val="24"/>
          <w:szCs w:val="24"/>
        </w:rPr>
        <w:t>I</w:t>
      </w:r>
      <w:r w:rsidRPr="003355B8">
        <w:rPr>
          <w:rFonts w:ascii="Times" w:hAnsi="Times" w:cs="Cambria Math"/>
          <w:color w:val="auto"/>
          <w:sz w:val="20"/>
          <w:szCs w:val="24"/>
          <w:lang w:val="en-GB" w:eastAsia="de-DE"/>
        </w:rPr>
        <w:t>n Eq. (</w:t>
      </w:r>
      <w:r w:rsidR="008D519C" w:rsidRPr="003355B8">
        <w:rPr>
          <w:rFonts w:ascii="Times" w:hAnsi="Times" w:cs="Cambria Math"/>
          <w:color w:val="auto"/>
          <w:sz w:val="20"/>
          <w:szCs w:val="24"/>
          <w:lang w:val="en-GB" w:eastAsia="de-DE"/>
        </w:rPr>
        <w:t>A</w:t>
      </w:r>
      <w:r w:rsidRPr="003355B8">
        <w:rPr>
          <w:rFonts w:ascii="Times" w:hAnsi="Times" w:cs="Cambria Math"/>
          <w:color w:val="auto"/>
          <w:sz w:val="20"/>
          <w:szCs w:val="24"/>
          <w:lang w:val="en-GB" w:eastAsia="de-DE"/>
        </w:rPr>
        <w:t xml:space="preserve">3), given the number of users </w:t>
      </w:r>
      <m:oMath>
        <m:r>
          <w:rPr>
            <w:rFonts w:ascii="Cambria Math" w:hAnsi="Cambria Math" w:cs="Cambria Math"/>
            <w:color w:val="auto"/>
            <w:sz w:val="20"/>
            <w:szCs w:val="24"/>
            <w:lang w:val="en-GB" w:eastAsia="de-DE"/>
          </w:rPr>
          <m:t>N</m:t>
        </m:r>
      </m:oMath>
      <w:r w:rsidRPr="003355B8">
        <w:rPr>
          <w:rFonts w:ascii="Times" w:hAnsi="Times" w:cs="Cambria Math"/>
          <w:color w:val="auto"/>
          <w:sz w:val="20"/>
          <w:szCs w:val="24"/>
          <w:lang w:val="en-GB" w:eastAsia="de-DE"/>
        </w:rPr>
        <w:t xml:space="preserve">, </w:t>
      </w:r>
      <m:oMath>
        <m:r>
          <w:rPr>
            <w:rFonts w:ascii="Cambria Math" w:hAnsi="Cambria Math" w:cs="Cambria Math"/>
            <w:color w:val="auto"/>
            <w:sz w:val="20"/>
            <w:szCs w:val="24"/>
            <w:lang w:val="en-GB" w:eastAsia="de-DE"/>
          </w:rPr>
          <m:t>NRUH</m:t>
        </m:r>
        <m:r>
          <m:rPr>
            <m:sty m:val="p"/>
          </m:rPr>
          <w:rPr>
            <w:rFonts w:ascii="Cambria Math" w:hAnsi="Cambria Math" w:cs="Cambria Math"/>
            <w:color w:val="auto"/>
            <w:sz w:val="20"/>
            <w:szCs w:val="24"/>
            <w:lang w:val="en-GB" w:eastAsia="de-DE"/>
          </w:rPr>
          <m:t>(</m:t>
        </m:r>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Sub>
        <m:r>
          <m:rPr>
            <m:sty m:val="p"/>
          </m:rPr>
          <w:rPr>
            <w:rFonts w:ascii="Cambria Math" w:hAnsi="Cambria Math" w:cs="Cambria Math"/>
            <w:color w:val="auto"/>
            <w:sz w:val="20"/>
            <w:szCs w:val="24"/>
            <w:lang w:val="en-GB" w:eastAsia="de-DE"/>
          </w:rPr>
          <m:t>)</m:t>
        </m:r>
      </m:oMath>
      <w:r w:rsidRPr="003355B8">
        <w:rPr>
          <w:rFonts w:ascii="Times" w:hAnsi="Times" w:cs="Cambria Math"/>
          <w:color w:val="auto"/>
          <w:sz w:val="20"/>
          <w:szCs w:val="24"/>
          <w:lang w:val="en-GB" w:eastAsia="de-DE"/>
        </w:rPr>
        <w:t xml:space="preserve"> is the total harvest from the natural infrastructure. </w:t>
      </w:r>
      <w:r w:rsidR="000A0C0D" w:rsidRPr="003355B8">
        <w:rPr>
          <w:rFonts w:ascii="Times" w:hAnsi="Times" w:cs="Cambria Math"/>
          <w:color w:val="auto"/>
          <w:sz w:val="20"/>
          <w:szCs w:val="24"/>
          <w:lang w:val="en-GB" w:eastAsia="de-DE"/>
        </w:rPr>
        <w:t xml:space="preserve">The </w:t>
      </w:r>
      <w:r w:rsidRPr="003355B8">
        <w:rPr>
          <w:rFonts w:ascii="Times" w:hAnsi="Times" w:cs="Cambria Math"/>
          <w:color w:val="auto"/>
          <w:sz w:val="20"/>
          <w:szCs w:val="24"/>
          <w:lang w:val="en-GB" w:eastAsia="de-DE"/>
        </w:rPr>
        <w:t xml:space="preserve">resource users sell total harvest at price </w:t>
      </w:r>
      <m:oMath>
        <m:r>
          <w:rPr>
            <w:rFonts w:ascii="Cambria Math" w:hAnsi="Cambria Math" w:cs="Cambria Math"/>
            <w:color w:val="auto"/>
            <w:sz w:val="20"/>
            <w:szCs w:val="24"/>
            <w:lang w:val="en-GB" w:eastAsia="de-DE"/>
          </w:rPr>
          <m:t>p</m:t>
        </m:r>
      </m:oMath>
      <w:r w:rsidRPr="003355B8">
        <w:rPr>
          <w:rFonts w:ascii="Times" w:hAnsi="Times" w:cs="Cambria Math"/>
          <w:color w:val="auto"/>
          <w:sz w:val="20"/>
          <w:szCs w:val="24"/>
          <w:lang w:val="en-GB" w:eastAsia="de-DE"/>
        </w:rPr>
        <w:t xml:space="preserve"> to generate revenue. Subsequently, they assign a proportion </w:t>
      </w:r>
      <m:oMath>
        <m:r>
          <w:rPr>
            <w:rFonts w:ascii="Cambria Math" w:hAnsi="Cambria Math" w:cs="Cambria Math"/>
            <w:color w:val="auto"/>
            <w:sz w:val="20"/>
            <w:szCs w:val="24"/>
            <w:lang w:val="en-GB" w:eastAsia="de-DE"/>
          </w:rPr>
          <m:t>C</m:t>
        </m:r>
      </m:oMath>
      <w:r w:rsidRPr="003355B8">
        <w:rPr>
          <w:rFonts w:ascii="Times" w:hAnsi="Times" w:cs="Cambria Math"/>
          <w:color w:val="auto"/>
          <w:sz w:val="20"/>
          <w:szCs w:val="24"/>
          <w:lang w:val="en-GB" w:eastAsia="de-DE"/>
        </w:rPr>
        <w:t xml:space="preserve"> of revenue to PIP’s for their contribution. Meanwhile, </w:t>
      </w:r>
      <w:r w:rsidR="002246C3" w:rsidRPr="003355B8">
        <w:rPr>
          <w:rFonts w:ascii="Times" w:hAnsi="Times" w:cs="Cambria Math"/>
          <w:color w:val="auto"/>
          <w:sz w:val="20"/>
          <w:szCs w:val="24"/>
          <w:lang w:val="en-GB" w:eastAsia="de-DE"/>
        </w:rPr>
        <w:t xml:space="preserve">the </w:t>
      </w:r>
      <w:r w:rsidRPr="003355B8">
        <w:rPr>
          <w:rFonts w:ascii="Times" w:hAnsi="Times" w:cs="Cambria Math"/>
          <w:color w:val="auto"/>
          <w:sz w:val="20"/>
          <w:szCs w:val="24"/>
          <w:lang w:val="en-GB" w:eastAsia="de-DE"/>
        </w:rPr>
        <w:t xml:space="preserve">PIP’s spend proportion </w:t>
      </w:r>
      <m:oMath>
        <m:r>
          <w:rPr>
            <w:rFonts w:ascii="Cambria Math" w:hAnsi="Cambria Math" w:cs="Cambria Math"/>
            <w:color w:val="auto"/>
            <w:sz w:val="20"/>
            <w:szCs w:val="24"/>
            <w:lang w:val="en-GB" w:eastAsia="de-DE"/>
          </w:rPr>
          <m:t>y</m:t>
        </m:r>
      </m:oMath>
      <w:r w:rsidRPr="003355B8">
        <w:rPr>
          <w:rFonts w:ascii="Times" w:hAnsi="Times" w:cs="Cambria Math"/>
          <w:color w:val="auto"/>
          <w:sz w:val="20"/>
          <w:szCs w:val="24"/>
          <w:lang w:val="en-GB" w:eastAsia="de-DE"/>
        </w:rPr>
        <w:t xml:space="preserve"> of </w:t>
      </w:r>
      <m:oMath>
        <m:r>
          <w:rPr>
            <w:rFonts w:ascii="Cambria Math" w:hAnsi="Cambria Math" w:cs="Cambria Math"/>
            <w:color w:val="auto"/>
            <w:sz w:val="20"/>
            <w:szCs w:val="24"/>
            <w:lang w:val="en-GB" w:eastAsia="de-DE"/>
          </w:rPr>
          <m:t>C</m:t>
        </m:r>
      </m:oMath>
      <w:r w:rsidRPr="003355B8">
        <w:rPr>
          <w:rFonts w:ascii="Times" w:hAnsi="Times" w:cs="Cambria Math"/>
          <w:color w:val="auto"/>
          <w:sz w:val="20"/>
          <w:szCs w:val="24"/>
          <w:lang w:val="en-GB" w:eastAsia="de-DE"/>
        </w:rPr>
        <w:t xml:space="preserve"> on maintaining public infrastructure through the maintenance function </w:t>
      </w:r>
      <m:oMath>
        <m:r>
          <w:rPr>
            <w:rFonts w:ascii="Cambria Math" w:hAnsi="Cambria Math" w:cs="Cambria Math"/>
            <w:color w:val="auto"/>
            <w:sz w:val="20"/>
            <w:szCs w:val="24"/>
            <w:lang w:val="en-GB" w:eastAsia="de-DE"/>
          </w:rPr>
          <m:t>M</m:t>
        </m:r>
        <m:r>
          <m:rPr>
            <m:sty m:val="p"/>
          </m:rPr>
          <w:rPr>
            <w:rFonts w:ascii="Cambria Math" w:hAnsi="Cambria Math" w:cs="Cambria Math"/>
            <w:color w:val="auto"/>
            <w:sz w:val="20"/>
            <w:szCs w:val="24"/>
            <w:lang w:val="en-GB" w:eastAsia="de-DE"/>
          </w:rPr>
          <m:t>(…).</m:t>
        </m:r>
      </m:oMath>
      <w:r w:rsidRPr="003355B8">
        <w:rPr>
          <w:rFonts w:ascii="Times" w:hAnsi="Times" w:cs="Cambria Math"/>
          <w:color w:val="auto"/>
          <w:sz w:val="20"/>
          <w:szCs w:val="24"/>
          <w:lang w:val="en-GB" w:eastAsia="de-DE"/>
        </w:rPr>
        <w:t xml:space="preserve"> Also, </w:t>
      </w:r>
      <m:oMath>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μ</m:t>
            </m:r>
          </m:e>
          <m:sub>
            <m:r>
              <m:rPr>
                <m:sty m:val="p"/>
              </m:rPr>
              <w:rPr>
                <w:rFonts w:ascii="Cambria Math" w:hAnsi="Cambria Math" w:cs="Cambria Math"/>
                <w:color w:val="auto"/>
                <w:sz w:val="20"/>
                <w:szCs w:val="24"/>
                <w:lang w:val="en-GB" w:eastAsia="de-DE"/>
              </w:rPr>
              <m:t>2</m:t>
            </m:r>
          </m:sub>
        </m:sSub>
      </m:oMath>
      <w:r w:rsidRPr="003355B8">
        <w:rPr>
          <w:rFonts w:ascii="Times" w:hAnsi="Times" w:cs="Cambria Math"/>
          <w:color w:val="auto"/>
          <w:sz w:val="20"/>
          <w:szCs w:val="24"/>
          <w:lang w:val="en-GB" w:eastAsia="de-DE"/>
        </w:rPr>
        <w:t xml:space="preserve"> is maintenance effectiveness of PIP’s investment.</w:t>
      </w:r>
    </w:p>
    <w:p w14:paraId="250EA92A" w14:textId="77777777" w:rsidR="004A25E8" w:rsidRPr="003355B8" w:rsidRDefault="004A25E8" w:rsidP="00F211D8">
      <w:pPr>
        <w:spacing w:after="120" w:line="360" w:lineRule="auto"/>
        <w:jc w:val="both"/>
        <w:rPr>
          <w:rFonts w:ascii="Times" w:hAnsi="Times" w:cs="Cambria Math"/>
          <w:color w:val="auto"/>
          <w:sz w:val="20"/>
          <w:szCs w:val="24"/>
          <w:lang w:val="en-GB" w:eastAsia="de-DE"/>
        </w:rPr>
      </w:pPr>
      <w:r w:rsidRPr="003355B8">
        <w:rPr>
          <w:rFonts w:ascii="Times" w:hAnsi="Times" w:cs="Cambria Math"/>
          <w:color w:val="auto"/>
          <w:sz w:val="20"/>
          <w:szCs w:val="24"/>
          <w:lang w:val="en-GB" w:eastAsia="de-DE"/>
        </w:rPr>
        <w:t xml:space="preserve">The second variable is resource level, </w:t>
      </w:r>
      <m:oMath>
        <m:r>
          <w:rPr>
            <w:rFonts w:ascii="Cambria Math" w:hAnsi="Cambria Math" w:cs="Cambria Math"/>
            <w:color w:val="auto"/>
            <w:sz w:val="20"/>
            <w:szCs w:val="24"/>
            <w:lang w:val="en-GB" w:eastAsia="de-DE"/>
          </w:rPr>
          <m:t>R</m:t>
        </m:r>
      </m:oMath>
      <w:r w:rsidRPr="003355B8">
        <w:rPr>
          <w:rFonts w:ascii="Times" w:hAnsi="Times" w:cs="Cambria Math"/>
          <w:color w:val="auto"/>
          <w:sz w:val="20"/>
          <w:szCs w:val="24"/>
          <w:lang w:val="en-GB" w:eastAsia="de-DE"/>
        </w:rPr>
        <w:t>. They assumed the dynamics of resource to be:</w:t>
      </w:r>
    </w:p>
    <w:p w14:paraId="3E7C6AED" w14:textId="3308B4D9" w:rsidR="004A25E8" w:rsidRPr="003355B8" w:rsidRDefault="00586A79" w:rsidP="007A0177">
      <w:pPr>
        <w:tabs>
          <w:tab w:val="left" w:pos="720"/>
          <w:tab w:val="left" w:pos="1440"/>
          <w:tab w:val="left" w:pos="2160"/>
          <w:tab w:val="left" w:pos="2880"/>
          <w:tab w:val="left" w:pos="3600"/>
          <w:tab w:val="left" w:pos="4320"/>
          <w:tab w:val="center" w:pos="4680"/>
          <w:tab w:val="left" w:pos="5040"/>
          <w:tab w:val="left" w:pos="5760"/>
          <w:tab w:val="left" w:pos="6480"/>
          <w:tab w:val="right" w:pos="9360"/>
        </w:tabs>
        <w:bidi/>
        <w:spacing w:after="120" w:line="360" w:lineRule="auto"/>
        <w:rPr>
          <w:rFonts w:ascii="Times" w:hAnsi="Times" w:cs="Times New Roman"/>
          <w:color w:val="auto"/>
          <w:sz w:val="20"/>
          <w:szCs w:val="24"/>
          <w:lang w:val="en-GB" w:eastAsia="de-DE"/>
        </w:rPr>
      </w:pPr>
      <m:oMath>
        <m:f>
          <m:fPr>
            <m:ctrlPr>
              <w:rPr>
                <w:rFonts w:ascii="Cambria Math" w:hAnsi="Cambria Math" w:cs="Cambria Math"/>
                <w:i/>
                <w:color w:val="auto"/>
                <w:sz w:val="20"/>
                <w:szCs w:val="20"/>
              </w:rPr>
            </m:ctrlPr>
          </m:fPr>
          <m:num>
            <m:r>
              <w:rPr>
                <w:rFonts w:ascii="Cambria Math" w:hAnsi="Cambria Math" w:cs="Cambria Math"/>
                <w:color w:val="auto"/>
                <w:sz w:val="20"/>
                <w:szCs w:val="20"/>
              </w:rPr>
              <m:t>dR</m:t>
            </m:r>
          </m:num>
          <m:den>
            <m:r>
              <w:rPr>
                <w:rFonts w:ascii="Cambria Math" w:hAnsi="Cambria Math" w:cs="Cambria Math"/>
                <w:color w:val="auto"/>
                <w:sz w:val="20"/>
                <w:szCs w:val="20"/>
              </w:rPr>
              <m:t>dt</m:t>
            </m:r>
          </m:den>
        </m:f>
        <m:r>
          <w:rPr>
            <w:rFonts w:ascii="Cambria Math" w:hAnsi="Cambria Math" w:cs="Cambria Math"/>
            <w:color w:val="auto"/>
            <w:sz w:val="20"/>
            <w:szCs w:val="20"/>
          </w:rPr>
          <m:t>=G</m:t>
        </m:r>
        <m:d>
          <m:dPr>
            <m:ctrlPr>
              <w:rPr>
                <w:rFonts w:ascii="Cambria Math" w:hAnsi="Cambria Math" w:cs="Cambria Math"/>
                <w:i/>
                <w:color w:val="auto"/>
                <w:sz w:val="20"/>
                <w:szCs w:val="20"/>
              </w:rPr>
            </m:ctrlPr>
          </m:dPr>
          <m:e>
            <m:r>
              <w:rPr>
                <w:rFonts w:ascii="Cambria Math" w:hAnsi="Cambria Math" w:cs="Cambria Math"/>
                <w:color w:val="auto"/>
                <w:sz w:val="20"/>
                <w:szCs w:val="20"/>
              </w:rPr>
              <m:t>R</m:t>
            </m:r>
          </m:e>
        </m:d>
        <m:r>
          <w:rPr>
            <w:rFonts w:ascii="Cambria Math" w:hAnsi="Cambria Math" w:cs="Cambria Math"/>
            <w:color w:val="auto"/>
            <w:sz w:val="20"/>
            <w:szCs w:val="20"/>
          </w:rPr>
          <m:t>-NURH</m:t>
        </m:r>
        <m:d>
          <m:dPr>
            <m:ctrlPr>
              <w:rPr>
                <w:rFonts w:ascii="Cambria Math" w:hAnsi="Cambria Math" w:cs="Cambria Math"/>
                <w:i/>
                <w:color w:val="auto"/>
                <w:sz w:val="20"/>
                <w:szCs w:val="20"/>
              </w:rPr>
            </m:ctrlPr>
          </m:dPr>
          <m:e>
            <m:sSub>
              <m:sSubPr>
                <m:ctrlPr>
                  <w:rPr>
                    <w:rFonts w:ascii="Cambria Math" w:hAnsi="Cambria Math" w:cs="Cambria Math"/>
                    <w:i/>
                    <w:color w:val="auto"/>
                    <w:sz w:val="20"/>
                    <w:szCs w:val="20"/>
                  </w:rPr>
                </m:ctrlPr>
              </m:sSubPr>
              <m:e>
                <m:r>
                  <w:rPr>
                    <w:rFonts w:ascii="Cambria Math" w:hAnsi="Cambria Math" w:cs="Cambria Math"/>
                    <w:color w:val="auto"/>
                    <w:sz w:val="20"/>
                    <w:szCs w:val="20"/>
                  </w:rPr>
                  <m:t>I</m:t>
                </m:r>
              </m:e>
              <m:sub>
                <m:r>
                  <w:rPr>
                    <w:rFonts w:ascii="Cambria Math" w:hAnsi="Cambria Math" w:cs="Cambria Math"/>
                    <w:color w:val="auto"/>
                    <w:sz w:val="20"/>
                    <w:szCs w:val="20"/>
                  </w:rPr>
                  <m:t>HM</m:t>
                </m:r>
              </m:sub>
            </m:sSub>
          </m:e>
        </m:d>
        <m:r>
          <w:rPr>
            <w:rFonts w:ascii="Cambria Math" w:hAnsi="Cambria Math" w:cs="Cambria Math"/>
            <w:color w:val="auto"/>
            <w:sz w:val="20"/>
            <w:szCs w:val="20"/>
          </w:rPr>
          <m:t xml:space="preserve">                                                                      (A4)</m:t>
        </m:r>
      </m:oMath>
      <w:r w:rsidR="007A0177" w:rsidRPr="003355B8">
        <w:rPr>
          <w:rFonts w:ascii="Times" w:hAnsi="Times" w:cs="Times New Roman"/>
          <w:color w:val="auto"/>
          <w:sz w:val="24"/>
          <w:szCs w:val="24"/>
        </w:rPr>
        <w:t xml:space="preserve"> </w:t>
      </w:r>
      <w:r w:rsidR="008A073B" w:rsidRPr="003355B8">
        <w:rPr>
          <w:rFonts w:ascii="Times" w:hAnsi="Times" w:cs="Times New Roman"/>
          <w:color w:val="auto"/>
          <w:sz w:val="24"/>
          <w:szCs w:val="24"/>
        </w:rPr>
        <w:tab/>
      </w:r>
    </w:p>
    <w:p w14:paraId="461EE88E" w14:textId="77777777" w:rsidR="004A25E8" w:rsidRPr="003355B8" w:rsidRDefault="004A25E8" w:rsidP="00F211D8">
      <w:pPr>
        <w:spacing w:after="120" w:line="360" w:lineRule="auto"/>
        <w:jc w:val="both"/>
        <w:rPr>
          <w:rFonts w:ascii="Times" w:hAnsi="Times" w:cs="Cambria Math"/>
          <w:color w:val="auto"/>
          <w:sz w:val="20"/>
          <w:szCs w:val="24"/>
          <w:lang w:val="en-GB" w:eastAsia="de-DE"/>
        </w:rPr>
      </w:pPr>
      <w:r w:rsidRPr="003355B8">
        <w:rPr>
          <w:rFonts w:ascii="Times" w:hAnsi="Times" w:cs="Cambria Math"/>
          <w:color w:val="auto"/>
          <w:sz w:val="20"/>
          <w:szCs w:val="24"/>
          <w:lang w:val="en-GB" w:eastAsia="de-DE"/>
        </w:rPr>
        <w:t>Natural infrastructure is assumed to invoke the conservation law comprising of regenerating capacity (</w:t>
      </w:r>
      <m:oMath>
        <m:r>
          <w:rPr>
            <w:rFonts w:ascii="Cambria Math" w:hAnsi="Cambria Math" w:cs="Cambria Math"/>
            <w:color w:val="auto"/>
            <w:sz w:val="20"/>
            <w:szCs w:val="24"/>
            <w:lang w:val="en-GB" w:eastAsia="de-DE"/>
          </w:rPr>
          <m:t>G</m:t>
        </m:r>
        <m:r>
          <m:rPr>
            <m:sty m:val="p"/>
          </m:rPr>
          <w:rPr>
            <w:rFonts w:ascii="Cambria Math" w:hAnsi="Cambria Math" w:cs="Cambria Math"/>
            <w:color w:val="auto"/>
            <w:sz w:val="20"/>
            <w:szCs w:val="24"/>
            <w:lang w:val="en-GB" w:eastAsia="de-DE"/>
          </w:rPr>
          <m:t>(</m:t>
        </m:r>
        <m:r>
          <w:rPr>
            <w:rFonts w:ascii="Cambria Math" w:hAnsi="Cambria Math" w:cs="Cambria Math"/>
            <w:color w:val="auto"/>
            <w:sz w:val="20"/>
            <w:szCs w:val="24"/>
            <w:lang w:val="en-GB" w:eastAsia="de-DE"/>
          </w:rPr>
          <m:t>R</m:t>
        </m:r>
        <m:r>
          <m:rPr>
            <m:sty m:val="p"/>
          </m:rPr>
          <w:rPr>
            <w:rFonts w:ascii="Cambria Math" w:hAnsi="Cambria Math" w:cs="Cambria Math"/>
            <w:color w:val="auto"/>
            <w:sz w:val="20"/>
            <w:szCs w:val="24"/>
            <w:lang w:val="en-GB" w:eastAsia="de-DE"/>
          </w:rPr>
          <m:t>)=</m:t>
        </m:r>
        <m:r>
          <w:rPr>
            <w:rFonts w:ascii="Cambria Math" w:hAnsi="Cambria Math" w:cs="Cambria Math"/>
            <w:color w:val="auto"/>
            <w:sz w:val="20"/>
            <w:szCs w:val="24"/>
            <w:lang w:val="en-GB" w:eastAsia="de-DE"/>
          </w:rPr>
          <m:t>g</m:t>
        </m:r>
        <m:r>
          <m:rPr>
            <m:sty m:val="p"/>
          </m:rPr>
          <w:rPr>
            <w:rFonts w:ascii="Cambria Math" w:hAnsi="Cambria Math" w:cs="Cambria Math"/>
            <w:color w:val="auto"/>
            <w:sz w:val="20"/>
            <w:szCs w:val="24"/>
            <w:lang w:val="en-GB" w:eastAsia="de-DE"/>
          </w:rPr>
          <m:t>-</m:t>
        </m:r>
        <m:r>
          <w:rPr>
            <w:rFonts w:ascii="Cambria Math" w:hAnsi="Cambria Math" w:cs="Cambria Math"/>
            <w:color w:val="auto"/>
            <w:sz w:val="20"/>
            <w:szCs w:val="24"/>
            <w:lang w:val="en-GB" w:eastAsia="de-DE"/>
          </w:rPr>
          <m:t>dR</m:t>
        </m:r>
      </m:oMath>
      <w:r w:rsidRPr="003355B8">
        <w:rPr>
          <w:rFonts w:ascii="Times" w:hAnsi="Times" w:cs="Cambria Math"/>
          <w:color w:val="auto"/>
          <w:sz w:val="20"/>
          <w:szCs w:val="24"/>
          <w:lang w:val="en-GB" w:eastAsia="de-DE"/>
        </w:rPr>
        <w:t xml:space="preserve">) and total unit of harvest, </w:t>
      </w:r>
      <m:oMath>
        <m:r>
          <w:rPr>
            <w:rFonts w:ascii="Cambria Math" w:hAnsi="Cambria Math" w:cs="Cambria Math"/>
            <w:color w:val="auto"/>
            <w:sz w:val="20"/>
            <w:szCs w:val="24"/>
            <w:lang w:val="en-GB" w:eastAsia="de-DE"/>
          </w:rPr>
          <m:t>NURH</m:t>
        </m:r>
        <m:r>
          <m:rPr>
            <m:sty m:val="p"/>
          </m:rPr>
          <w:rPr>
            <w:rFonts w:ascii="Cambria Math" w:hAnsi="Cambria Math" w:cs="Cambria Math"/>
            <w:color w:val="auto"/>
            <w:sz w:val="20"/>
            <w:szCs w:val="24"/>
            <w:lang w:val="en-GB" w:eastAsia="de-DE"/>
          </w:rPr>
          <m:t>(</m:t>
        </m:r>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Sub>
        <m:r>
          <m:rPr>
            <m:sty m:val="p"/>
          </m:rPr>
          <w:rPr>
            <w:rFonts w:ascii="Cambria Math" w:hAnsi="Cambria Math" w:cs="Cambria Math"/>
            <w:color w:val="auto"/>
            <w:sz w:val="20"/>
            <w:szCs w:val="24"/>
            <w:lang w:val="en-GB" w:eastAsia="de-DE"/>
          </w:rPr>
          <m:t>)</m:t>
        </m:r>
      </m:oMath>
      <w:r w:rsidRPr="003355B8">
        <w:rPr>
          <w:rFonts w:ascii="Times" w:hAnsi="Times" w:cs="Cambria Math"/>
          <w:color w:val="auto"/>
          <w:sz w:val="20"/>
          <w:szCs w:val="24"/>
          <w:lang w:val="en-GB" w:eastAsia="de-DE"/>
        </w:rPr>
        <w:t xml:space="preserve">. The definition presented for </w:t>
      </w:r>
      <m:oMath>
        <m:r>
          <w:rPr>
            <w:rFonts w:ascii="Cambria Math" w:hAnsi="Cambria Math" w:cs="Cambria Math"/>
            <w:color w:val="auto"/>
            <w:sz w:val="20"/>
            <w:szCs w:val="24"/>
            <w:lang w:val="en-GB" w:eastAsia="de-DE"/>
          </w:rPr>
          <m:t>G</m:t>
        </m:r>
      </m:oMath>
      <w:r w:rsidRPr="003355B8">
        <w:rPr>
          <w:rFonts w:ascii="Times" w:hAnsi="Times" w:cs="Cambria Math"/>
          <w:color w:val="auto"/>
          <w:sz w:val="20"/>
          <w:szCs w:val="24"/>
          <w:lang w:val="en-GB" w:eastAsia="de-DE"/>
        </w:rPr>
        <w:t xml:space="preserve"> is the simplest model for natural infrastructure where </w:t>
      </w:r>
      <m:oMath>
        <m:r>
          <w:rPr>
            <w:rFonts w:ascii="Cambria Math" w:hAnsi="Cambria Math" w:cs="Cambria Math"/>
            <w:color w:val="auto"/>
            <w:sz w:val="20"/>
            <w:szCs w:val="24"/>
            <w:lang w:val="en-GB" w:eastAsia="de-DE"/>
          </w:rPr>
          <m:t>g</m:t>
        </m:r>
      </m:oMath>
      <w:r w:rsidRPr="003355B8">
        <w:rPr>
          <w:rFonts w:ascii="Times" w:hAnsi="Times" w:cs="Cambria Math"/>
          <w:color w:val="auto"/>
          <w:sz w:val="20"/>
          <w:szCs w:val="24"/>
          <w:lang w:val="en-GB" w:eastAsia="de-DE"/>
        </w:rPr>
        <w:t xml:space="preserve"> and </w:t>
      </w:r>
      <m:oMath>
        <m:r>
          <w:rPr>
            <w:rFonts w:ascii="Cambria Math" w:hAnsi="Cambria Math" w:cs="Cambria Math"/>
            <w:color w:val="auto"/>
            <w:sz w:val="20"/>
            <w:szCs w:val="24"/>
            <w:lang w:val="en-GB" w:eastAsia="de-DE"/>
          </w:rPr>
          <m:t>d</m:t>
        </m:r>
      </m:oMath>
      <w:r w:rsidRPr="003355B8">
        <w:rPr>
          <w:rFonts w:ascii="Times" w:hAnsi="Times" w:cs="Cambria Math"/>
          <w:color w:val="auto"/>
          <w:sz w:val="20"/>
          <w:szCs w:val="24"/>
          <w:lang w:val="en-GB" w:eastAsia="de-DE"/>
        </w:rPr>
        <w:t xml:space="preserve"> are the natural replenishment and the loss rates, respectively. </w:t>
      </w:r>
    </w:p>
    <w:p w14:paraId="2ACC5CFD" w14:textId="7A8FA000" w:rsidR="004A25E8" w:rsidRPr="003355B8" w:rsidRDefault="004A25E8" w:rsidP="00F211D8">
      <w:pPr>
        <w:spacing w:after="120" w:line="360" w:lineRule="auto"/>
        <w:jc w:val="both"/>
        <w:rPr>
          <w:rFonts w:ascii="Times" w:hAnsi="Times" w:cs="Cambria Math"/>
          <w:color w:val="auto"/>
          <w:sz w:val="20"/>
          <w:szCs w:val="24"/>
          <w:lang w:val="en-GB" w:eastAsia="de-DE"/>
        </w:rPr>
      </w:pPr>
      <w:r w:rsidRPr="003355B8">
        <w:rPr>
          <w:rFonts w:ascii="Times" w:hAnsi="Times" w:cs="Cambria Math"/>
          <w:color w:val="auto"/>
          <w:sz w:val="20"/>
          <w:szCs w:val="24"/>
          <w:lang w:val="en-GB" w:eastAsia="de-DE"/>
        </w:rPr>
        <w:t xml:space="preserve">The strategic </w:t>
      </w:r>
      <w:proofErr w:type="spellStart"/>
      <w:r w:rsidRPr="003355B8">
        <w:rPr>
          <w:rFonts w:ascii="Times" w:hAnsi="Times" w:cs="Cambria Math"/>
          <w:color w:val="auto"/>
          <w:sz w:val="20"/>
          <w:szCs w:val="24"/>
          <w:lang w:val="en-GB" w:eastAsia="de-DE"/>
        </w:rPr>
        <w:t>behavior</w:t>
      </w:r>
      <w:proofErr w:type="spellEnd"/>
      <w:r w:rsidRPr="003355B8">
        <w:rPr>
          <w:rFonts w:ascii="Times" w:hAnsi="Times" w:cs="Cambria Math"/>
          <w:color w:val="auto"/>
          <w:sz w:val="20"/>
          <w:szCs w:val="24"/>
          <w:lang w:val="en-GB" w:eastAsia="de-DE"/>
        </w:rPr>
        <w:t xml:space="preserve"> of the resource users (</w:t>
      </w:r>
      <w:r w:rsidRPr="003355B8">
        <w:rPr>
          <w:rFonts w:ascii="Times" w:hAnsi="Times" w:cs="Cambria Math"/>
          <w:i/>
          <w:iCs/>
          <w:color w:val="auto"/>
          <w:sz w:val="20"/>
          <w:szCs w:val="24"/>
          <w:lang w:val="en-GB" w:eastAsia="de-DE"/>
        </w:rPr>
        <w:t>RU’s</w:t>
      </w:r>
      <w:r w:rsidRPr="003355B8">
        <w:rPr>
          <w:rFonts w:ascii="Times" w:hAnsi="Times" w:cs="Cambria Math"/>
          <w:color w:val="auto"/>
          <w:sz w:val="20"/>
          <w:szCs w:val="24"/>
          <w:lang w:val="en-GB" w:eastAsia="de-DE"/>
        </w:rPr>
        <w:t xml:space="preserve">) is captured by employing replicator equation. Indeed, </w:t>
      </w:r>
      <w:r w:rsidR="002246C3" w:rsidRPr="003355B8">
        <w:rPr>
          <w:rFonts w:ascii="Times" w:hAnsi="Times" w:cs="Cambria Math"/>
          <w:color w:val="auto"/>
          <w:sz w:val="20"/>
          <w:szCs w:val="24"/>
          <w:lang w:val="en-GB" w:eastAsia="de-DE"/>
        </w:rPr>
        <w:t xml:space="preserve">replicator </w:t>
      </w:r>
      <w:r w:rsidRPr="003355B8">
        <w:rPr>
          <w:rFonts w:ascii="Times" w:hAnsi="Times" w:cs="Cambria Math"/>
          <w:color w:val="auto"/>
          <w:sz w:val="20"/>
          <w:szCs w:val="24"/>
          <w:lang w:val="en-GB" w:eastAsia="de-DE"/>
        </w:rPr>
        <w:t xml:space="preserve">dynamics provide modeler with simple, realistic social mechanism where agents follow and replicate better-off strategies. The two possible strategies considered for RU’s are staying inside system with the associated payoff of </w:t>
      </w:r>
      <m:oMath>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π</m:t>
            </m:r>
          </m:e>
          <m:sub>
            <m:r>
              <w:rPr>
                <w:rFonts w:ascii="Cambria Math" w:hAnsi="Cambria Math" w:cs="Cambria Math"/>
                <w:color w:val="auto"/>
                <w:sz w:val="20"/>
                <w:szCs w:val="24"/>
                <w:lang w:val="en-GB" w:eastAsia="de-DE"/>
              </w:rPr>
              <m:t>U</m:t>
            </m:r>
          </m:sub>
        </m:sSub>
        <m:r>
          <m:rPr>
            <m:sty m:val="p"/>
          </m:rPr>
          <w:rPr>
            <w:rFonts w:ascii="Cambria Math" w:hAnsi="Cambria Math" w:cs="Cambria Math"/>
            <w:color w:val="auto"/>
            <w:sz w:val="20"/>
            <w:szCs w:val="24"/>
            <w:lang w:val="en-GB" w:eastAsia="de-DE"/>
          </w:rPr>
          <m:t>=(1-</m:t>
        </m:r>
        <m:r>
          <w:rPr>
            <w:rFonts w:ascii="Cambria Math" w:hAnsi="Cambria Math" w:cs="Cambria Math"/>
            <w:color w:val="auto"/>
            <w:sz w:val="20"/>
            <w:szCs w:val="24"/>
            <w:lang w:val="en-GB" w:eastAsia="de-DE"/>
          </w:rPr>
          <m:t>C</m:t>
        </m:r>
        <m:r>
          <m:rPr>
            <m:sty m:val="p"/>
          </m:rPr>
          <w:rPr>
            <w:rFonts w:ascii="Cambria Math" w:hAnsi="Cambria Math" w:cs="Cambria Math"/>
            <w:color w:val="auto"/>
            <w:sz w:val="20"/>
            <w:szCs w:val="24"/>
            <w:lang w:val="en-GB" w:eastAsia="de-DE"/>
          </w:rPr>
          <m:t>)</m:t>
        </m:r>
        <m:r>
          <w:rPr>
            <w:rFonts w:ascii="Cambria Math" w:hAnsi="Cambria Math" w:cs="Cambria Math"/>
            <w:color w:val="auto"/>
            <w:sz w:val="20"/>
            <w:szCs w:val="24"/>
            <w:lang w:val="en-GB" w:eastAsia="de-DE"/>
          </w:rPr>
          <m:t>pRH</m:t>
        </m:r>
        <m:r>
          <m:rPr>
            <m:sty m:val="p"/>
          </m:rPr>
          <w:rPr>
            <w:rFonts w:ascii="Cambria Math" w:hAnsi="Cambria Math" w:cs="Cambria Math"/>
            <w:color w:val="auto"/>
            <w:sz w:val="20"/>
            <w:szCs w:val="24"/>
            <w:lang w:val="en-GB" w:eastAsia="de-DE"/>
          </w:rPr>
          <m:t>(</m:t>
        </m:r>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Sub>
        <m:r>
          <m:rPr>
            <m:sty m:val="p"/>
          </m:rPr>
          <w:rPr>
            <w:rFonts w:ascii="Cambria Math" w:hAnsi="Cambria Math" w:cs="Cambria Math"/>
            <w:color w:val="auto"/>
            <w:sz w:val="20"/>
            <w:szCs w:val="24"/>
            <w:lang w:val="en-GB" w:eastAsia="de-DE"/>
          </w:rPr>
          <m:t>)</m:t>
        </m:r>
      </m:oMath>
      <w:r w:rsidRPr="003355B8">
        <w:rPr>
          <w:rFonts w:ascii="Times" w:hAnsi="Times" w:cs="Cambria Math"/>
          <w:color w:val="auto"/>
          <w:sz w:val="20"/>
          <w:szCs w:val="24"/>
          <w:lang w:val="en-GB" w:eastAsia="de-DE"/>
        </w:rPr>
        <w:t xml:space="preserve"> or leaving system with the payoff of </w:t>
      </w:r>
      <m:oMath>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π</m:t>
            </m:r>
          </m:e>
          <m:sub>
            <m:r>
              <w:rPr>
                <w:rFonts w:ascii="Cambria Math" w:hAnsi="Cambria Math" w:cs="Cambria Math"/>
                <w:color w:val="auto"/>
                <w:sz w:val="20"/>
                <w:szCs w:val="24"/>
                <w:lang w:val="en-GB" w:eastAsia="de-DE"/>
              </w:rPr>
              <m:t>w</m:t>
            </m:r>
          </m:sub>
        </m:sSub>
        <m:r>
          <m:rPr>
            <m:sty m:val="p"/>
          </m:rPr>
          <w:rPr>
            <w:rFonts w:ascii="Cambria Math" w:hAnsi="Cambria Math" w:cs="Cambria Math"/>
            <w:color w:val="auto"/>
            <w:sz w:val="20"/>
            <w:szCs w:val="24"/>
            <w:lang w:val="en-GB" w:eastAsia="de-DE"/>
          </w:rPr>
          <m:t>=</m:t>
        </m:r>
        <m:r>
          <w:rPr>
            <w:rFonts w:ascii="Cambria Math" w:hAnsi="Cambria Math" w:cs="Cambria Math"/>
            <w:color w:val="auto"/>
            <w:sz w:val="20"/>
            <w:szCs w:val="24"/>
            <w:lang w:val="en-GB" w:eastAsia="de-DE"/>
          </w:rPr>
          <m:t>w</m:t>
        </m:r>
      </m:oMath>
      <w:r w:rsidRPr="003355B8">
        <w:rPr>
          <w:rFonts w:ascii="Times" w:hAnsi="Times" w:cs="Cambria Math"/>
          <w:color w:val="auto"/>
          <w:sz w:val="20"/>
          <w:szCs w:val="24"/>
          <w:lang w:val="en-GB" w:eastAsia="de-DE"/>
        </w:rPr>
        <w:t>. According to replicator equation:</w:t>
      </w:r>
    </w:p>
    <w:p w14:paraId="7B37048D" w14:textId="6E171110" w:rsidR="00F060C2" w:rsidRPr="003355B8" w:rsidRDefault="00586A79" w:rsidP="00922806">
      <w:pPr>
        <w:tabs>
          <w:tab w:val="left" w:pos="720"/>
          <w:tab w:val="left" w:pos="1440"/>
          <w:tab w:val="left" w:pos="2160"/>
          <w:tab w:val="left" w:pos="2880"/>
          <w:tab w:val="left" w:pos="3600"/>
          <w:tab w:val="left" w:pos="4320"/>
          <w:tab w:val="center" w:pos="4680"/>
          <w:tab w:val="left" w:pos="5040"/>
          <w:tab w:val="left" w:pos="5760"/>
          <w:tab w:val="left" w:pos="6480"/>
          <w:tab w:val="right" w:pos="9360"/>
        </w:tabs>
        <w:bidi/>
        <w:spacing w:after="120" w:line="360" w:lineRule="auto"/>
        <w:rPr>
          <w:rFonts w:ascii="Times" w:hAnsi="Times" w:cs="Cambria Math"/>
          <w:color w:val="auto"/>
          <w:sz w:val="20"/>
          <w:szCs w:val="20"/>
        </w:rPr>
      </w:pPr>
      <m:oMath>
        <m:f>
          <m:fPr>
            <m:ctrlPr>
              <w:rPr>
                <w:rFonts w:ascii="Cambria Math" w:hAnsi="Cambria Math" w:cs="Cambria Math"/>
                <w:i/>
                <w:color w:val="auto"/>
                <w:sz w:val="20"/>
                <w:szCs w:val="20"/>
              </w:rPr>
            </m:ctrlPr>
          </m:fPr>
          <m:num>
            <m:r>
              <w:rPr>
                <w:rFonts w:ascii="Cambria Math" w:hAnsi="Cambria Math" w:cs="Cambria Math"/>
                <w:color w:val="auto"/>
                <w:sz w:val="20"/>
                <w:szCs w:val="20"/>
              </w:rPr>
              <m:t>dU</m:t>
            </m:r>
          </m:num>
          <m:den>
            <m:r>
              <w:rPr>
                <w:rFonts w:ascii="Cambria Math" w:hAnsi="Cambria Math" w:cs="Cambria Math"/>
                <w:color w:val="auto"/>
                <w:sz w:val="20"/>
                <w:szCs w:val="20"/>
              </w:rPr>
              <m:t>dt</m:t>
            </m:r>
          </m:den>
        </m:f>
        <m:r>
          <w:rPr>
            <w:rFonts w:ascii="Cambria Math" w:hAnsi="Cambria Math" w:cs="Cambria Math"/>
            <w:color w:val="auto"/>
            <w:sz w:val="20"/>
            <w:szCs w:val="20"/>
          </w:rPr>
          <m:t>=rU</m:t>
        </m:r>
        <m:d>
          <m:dPr>
            <m:ctrlPr>
              <w:rPr>
                <w:rFonts w:ascii="Cambria Math" w:hAnsi="Cambria Math" w:cs="Cambria Math"/>
                <w:i/>
                <w:color w:val="auto"/>
                <w:sz w:val="20"/>
                <w:szCs w:val="20"/>
              </w:rPr>
            </m:ctrlPr>
          </m:dPr>
          <m:e>
            <m:r>
              <w:rPr>
                <w:rFonts w:ascii="Cambria Math" w:hAnsi="Cambria Math" w:cs="Cambria Math"/>
                <w:color w:val="auto"/>
                <w:sz w:val="20"/>
                <w:szCs w:val="20"/>
              </w:rPr>
              <m:t>1-U</m:t>
            </m:r>
          </m:e>
        </m:d>
        <m:d>
          <m:dPr>
            <m:ctrlPr>
              <w:rPr>
                <w:rFonts w:ascii="Cambria Math" w:hAnsi="Cambria Math" w:cs="Cambria Math"/>
                <w:i/>
                <w:color w:val="auto"/>
                <w:sz w:val="20"/>
                <w:szCs w:val="20"/>
              </w:rPr>
            </m:ctrlPr>
          </m:dPr>
          <m:e>
            <m:r>
              <w:rPr>
                <w:rFonts w:ascii="Cambria Math" w:hAnsi="Cambria Math" w:cs="Cambria Math"/>
                <w:color w:val="auto"/>
                <w:sz w:val="20"/>
                <w:szCs w:val="20"/>
              </w:rPr>
              <m:t xml:space="preserve"> </m:t>
            </m:r>
            <m:sSub>
              <m:sSubPr>
                <m:ctrlPr>
                  <w:rPr>
                    <w:rFonts w:ascii="Cambria Math" w:hAnsi="Cambria Math" w:cs="Cambria Math"/>
                    <w:i/>
                    <w:color w:val="auto"/>
                    <w:sz w:val="20"/>
                    <w:szCs w:val="20"/>
                  </w:rPr>
                </m:ctrlPr>
              </m:sSubPr>
              <m:e>
                <m:r>
                  <w:rPr>
                    <w:rFonts w:ascii="Cambria Math" w:hAnsi="Cambria Math" w:cs="Cambria Math"/>
                    <w:color w:val="auto"/>
                    <w:sz w:val="20"/>
                    <w:szCs w:val="20"/>
                  </w:rPr>
                  <m:t>π</m:t>
                </m:r>
              </m:e>
              <m:sub>
                <m:r>
                  <w:rPr>
                    <w:rFonts w:ascii="Cambria Math" w:hAnsi="Cambria Math" w:cs="Cambria Math"/>
                    <w:color w:val="auto"/>
                    <w:sz w:val="20"/>
                    <w:szCs w:val="20"/>
                  </w:rPr>
                  <m:t>U</m:t>
                </m:r>
              </m:sub>
            </m:sSub>
            <m:r>
              <w:rPr>
                <w:rFonts w:ascii="Cambria Math" w:hAnsi="Cambria Math" w:cs="Cambria Math"/>
                <w:color w:val="auto"/>
                <w:sz w:val="20"/>
                <w:szCs w:val="20"/>
              </w:rPr>
              <m:t>-w</m:t>
            </m:r>
          </m:e>
        </m:d>
        <m:r>
          <w:rPr>
            <w:rFonts w:ascii="Cambria Math" w:hAnsi="Cambria Math" w:cs="Times New Roman"/>
            <w:color w:val="auto"/>
            <w:sz w:val="20"/>
            <w:szCs w:val="24"/>
            <w:lang w:val="en-GB" w:eastAsia="de-DE"/>
          </w:rPr>
          <m:t xml:space="preserve">                                                                            </m:t>
        </m:r>
        <m:r>
          <m:rPr>
            <m:sty m:val="p"/>
          </m:rPr>
          <w:rPr>
            <w:rFonts w:ascii="Cambria Math" w:hAnsi="Cambria Math" w:cs="Times New Roman"/>
            <w:color w:val="auto"/>
            <w:sz w:val="20"/>
            <w:szCs w:val="24"/>
            <w:lang w:val="en-GB" w:eastAsia="de-DE"/>
          </w:rPr>
          <m:t>(A5)</m:t>
        </m:r>
      </m:oMath>
      <w:r w:rsidR="00F060C2" w:rsidRPr="003355B8">
        <w:rPr>
          <w:rFonts w:ascii="Times" w:hAnsi="Times" w:cs="Times New Roman"/>
          <w:color w:val="auto"/>
          <w:sz w:val="20"/>
          <w:szCs w:val="20"/>
        </w:rPr>
        <w:tab/>
      </w:r>
      <w:r w:rsidR="00F060C2" w:rsidRPr="003355B8">
        <w:rPr>
          <w:rFonts w:ascii="Times" w:hAnsi="Times" w:cs="Times New Roman"/>
          <w:color w:val="auto"/>
          <w:sz w:val="20"/>
          <w:szCs w:val="20"/>
        </w:rPr>
        <w:tab/>
      </w:r>
    </w:p>
    <w:p w14:paraId="21D3229C" w14:textId="77777777" w:rsidR="004A25E8" w:rsidRPr="003355B8" w:rsidRDefault="004A25E8" w:rsidP="00F211D8">
      <w:pPr>
        <w:spacing w:after="120" w:line="360" w:lineRule="auto"/>
        <w:jc w:val="both"/>
        <w:rPr>
          <w:rFonts w:ascii="Times" w:hAnsi="Times" w:cs="Cambria Math"/>
          <w:color w:val="auto"/>
          <w:sz w:val="20"/>
          <w:szCs w:val="24"/>
          <w:lang w:val="en-GB" w:eastAsia="de-DE"/>
        </w:rPr>
      </w:pPr>
      <w:r w:rsidRPr="003355B8">
        <w:rPr>
          <w:rFonts w:ascii="Times" w:hAnsi="Times" w:cs="Cambria Math"/>
          <w:color w:val="auto"/>
          <w:sz w:val="20"/>
          <w:szCs w:val="24"/>
          <w:lang w:val="en-GB" w:eastAsia="de-DE"/>
        </w:rPr>
        <w:t xml:space="preserve">Replicator equation discuss the fraction of time that RU’s assign to working inside system given </w:t>
      </w:r>
      <m:oMath>
        <m:r>
          <w:rPr>
            <w:rFonts w:ascii="Cambria Math" w:hAnsi="Cambria Math" w:cs="Cambria Math"/>
            <w:color w:val="auto"/>
            <w:sz w:val="20"/>
            <w:szCs w:val="24"/>
            <w:lang w:val="en-GB" w:eastAsia="de-DE"/>
          </w:rPr>
          <m:t>C</m:t>
        </m:r>
      </m:oMath>
      <w:r w:rsidRPr="003355B8">
        <w:rPr>
          <w:rFonts w:ascii="Times" w:hAnsi="Times" w:cs="Cambria Math"/>
          <w:color w:val="auto"/>
          <w:sz w:val="20"/>
          <w:szCs w:val="24"/>
          <w:lang w:val="en-GB" w:eastAsia="de-DE"/>
        </w:rPr>
        <w:t xml:space="preserve"> and </w:t>
      </w:r>
      <m:oMath>
        <m:r>
          <w:rPr>
            <w:rFonts w:ascii="Cambria Math" w:hAnsi="Cambria Math" w:cs="Cambria Math"/>
            <w:color w:val="auto"/>
            <w:sz w:val="20"/>
            <w:szCs w:val="24"/>
            <w:lang w:val="en-GB" w:eastAsia="de-DE"/>
          </w:rPr>
          <m:t>y</m:t>
        </m:r>
      </m:oMath>
      <w:r w:rsidRPr="003355B8">
        <w:rPr>
          <w:rFonts w:ascii="Times" w:hAnsi="Times" w:cs="Cambria Math"/>
          <w:color w:val="auto"/>
          <w:sz w:val="20"/>
          <w:szCs w:val="24"/>
          <w:lang w:val="en-GB" w:eastAsia="de-DE"/>
        </w:rPr>
        <w:t xml:space="preserve">.  Like RU’s, there is also two alternatives for PIP’s, working inside system or working for another CIS which leads to system failure. Meanwhile, </w:t>
      </w:r>
      <m:oMath>
        <m:r>
          <w:rPr>
            <w:rFonts w:ascii="Cambria Math" w:hAnsi="Cambria Math" w:cs="Cambria Math"/>
            <w:color w:val="auto"/>
            <w:sz w:val="20"/>
            <w:szCs w:val="24"/>
            <w:lang w:val="en-GB" w:eastAsia="de-DE"/>
          </w:rPr>
          <m:t>C</m:t>
        </m:r>
      </m:oMath>
      <w:r w:rsidRPr="003355B8">
        <w:rPr>
          <w:rFonts w:ascii="Times" w:hAnsi="Times" w:cs="Cambria Math"/>
          <w:color w:val="auto"/>
          <w:sz w:val="20"/>
          <w:szCs w:val="24"/>
          <w:lang w:val="en-GB" w:eastAsia="de-DE"/>
        </w:rPr>
        <w:t xml:space="preserve"> and </w:t>
      </w:r>
      <m:oMath>
        <m:r>
          <w:rPr>
            <w:rFonts w:ascii="Cambria Math" w:hAnsi="Cambria Math" w:cs="Cambria Math"/>
            <w:color w:val="auto"/>
            <w:sz w:val="20"/>
            <w:szCs w:val="24"/>
            <w:lang w:val="en-GB" w:eastAsia="de-DE"/>
          </w:rPr>
          <m:t>y</m:t>
        </m:r>
      </m:oMath>
      <w:r w:rsidRPr="003355B8">
        <w:rPr>
          <w:rFonts w:ascii="Times" w:hAnsi="Times" w:cs="Cambria Math"/>
          <w:color w:val="auto"/>
          <w:sz w:val="20"/>
          <w:szCs w:val="24"/>
          <w:lang w:val="en-GB" w:eastAsia="de-DE"/>
        </w:rPr>
        <w:t xml:space="preserve"> characterize the strategy or policy of PIPs.  The PIPs will participate in this coupled system only when </w:t>
      </w:r>
      <m:oMath>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π</m:t>
            </m:r>
          </m:e>
          <m:sub>
            <m:r>
              <w:rPr>
                <w:rFonts w:ascii="Cambria Math" w:hAnsi="Cambria Math" w:cs="Cambria Math"/>
                <w:color w:val="auto"/>
                <w:sz w:val="20"/>
                <w:szCs w:val="24"/>
                <w:lang w:val="en-GB" w:eastAsia="de-DE"/>
              </w:rPr>
              <m:t>p</m:t>
            </m:r>
          </m:sub>
        </m:sSub>
        <m:r>
          <m:rPr>
            <m:sty m:val="p"/>
          </m:rPr>
          <w:rPr>
            <w:rFonts w:ascii="Cambria Math" w:hAnsi="Cambria Math" w:cs="Cambria Math"/>
            <w:color w:val="auto"/>
            <w:sz w:val="20"/>
            <w:szCs w:val="24"/>
            <w:lang w:val="en-GB" w:eastAsia="de-DE"/>
          </w:rPr>
          <m:t>=(1-</m:t>
        </m:r>
        <m:r>
          <w:rPr>
            <w:rFonts w:ascii="Cambria Math" w:hAnsi="Cambria Math" w:cs="Cambria Math"/>
            <w:color w:val="auto"/>
            <w:sz w:val="20"/>
            <w:szCs w:val="24"/>
            <w:lang w:val="en-GB" w:eastAsia="de-DE"/>
          </w:rPr>
          <m:t>y</m:t>
        </m:r>
        <m:r>
          <m:rPr>
            <m:sty m:val="p"/>
          </m:rPr>
          <w:rPr>
            <w:rFonts w:ascii="Cambria Math" w:hAnsi="Cambria Math" w:cs="Cambria Math"/>
            <w:color w:val="auto"/>
            <w:sz w:val="20"/>
            <w:szCs w:val="24"/>
            <w:lang w:val="en-GB" w:eastAsia="de-DE"/>
          </w:rPr>
          <m:t>)</m:t>
        </m:r>
        <m:r>
          <w:rPr>
            <w:rFonts w:ascii="Cambria Math" w:hAnsi="Cambria Math" w:cs="Cambria Math"/>
            <w:color w:val="auto"/>
            <w:sz w:val="20"/>
            <w:szCs w:val="24"/>
            <w:lang w:val="en-GB" w:eastAsia="de-DE"/>
          </w:rPr>
          <m:t>pCUNRH</m:t>
        </m:r>
        <m:r>
          <m:rPr>
            <m:sty m:val="p"/>
          </m:rPr>
          <w:rPr>
            <w:rFonts w:ascii="Cambria Math" w:hAnsi="Cambria Math" w:cs="Cambria Math"/>
            <w:color w:val="auto"/>
            <w:sz w:val="20"/>
            <w:szCs w:val="24"/>
            <w:lang w:val="en-GB" w:eastAsia="de-DE"/>
          </w:rPr>
          <m:t>(</m:t>
        </m:r>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Sub>
        <m:r>
          <m:rPr>
            <m:sty m:val="p"/>
          </m:rPr>
          <w:rPr>
            <w:rFonts w:ascii="Cambria Math" w:hAnsi="Cambria Math" w:cs="Cambria Math"/>
            <w:color w:val="auto"/>
            <w:sz w:val="20"/>
            <w:szCs w:val="24"/>
            <w:lang w:val="en-GB" w:eastAsia="de-DE"/>
          </w:rPr>
          <m:t>)≥</m:t>
        </m:r>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π</m:t>
            </m:r>
          </m:e>
          <m:sub>
            <m:r>
              <w:rPr>
                <w:rFonts w:ascii="Cambria Math" w:hAnsi="Cambria Math" w:cs="Cambria Math"/>
                <w:color w:val="auto"/>
                <w:sz w:val="20"/>
                <w:szCs w:val="24"/>
                <w:lang w:val="en-GB" w:eastAsia="de-DE"/>
              </w:rPr>
              <m:t>w</m:t>
            </m:r>
          </m:sub>
        </m:sSub>
      </m:oMath>
      <w:r w:rsidRPr="003355B8">
        <w:rPr>
          <w:rFonts w:ascii="Times" w:hAnsi="Times" w:cs="Cambria Math"/>
          <w:color w:val="auto"/>
          <w:sz w:val="20"/>
          <w:szCs w:val="24"/>
          <w:lang w:val="en-GB" w:eastAsia="de-DE"/>
        </w:rPr>
        <w:t>. In other words, the PIPs maintain in the system when they are better-off than working outside.  This condi</w:t>
      </w:r>
      <w:proofErr w:type="spellStart"/>
      <w:r w:rsidRPr="003355B8">
        <w:rPr>
          <w:rFonts w:ascii="Times" w:hAnsi="Times" w:cs="Cambria Math"/>
          <w:color w:val="auto"/>
          <w:sz w:val="20"/>
          <w:szCs w:val="24"/>
          <w:lang w:val="en-GB" w:eastAsia="de-DE"/>
        </w:rPr>
        <w:t>tion</w:t>
      </w:r>
      <w:proofErr w:type="spellEnd"/>
      <w:r w:rsidRPr="003355B8">
        <w:rPr>
          <w:rFonts w:ascii="Times" w:hAnsi="Times" w:cs="Cambria Math"/>
          <w:color w:val="auto"/>
          <w:sz w:val="20"/>
          <w:szCs w:val="24"/>
          <w:lang w:val="en-GB" w:eastAsia="de-DE"/>
        </w:rPr>
        <w:t xml:space="preserve"> is termed the PIP Participation Constraint (PPC). </w:t>
      </w:r>
    </w:p>
    <w:p w14:paraId="3BE37125" w14:textId="72FA18A2" w:rsidR="004A25E8" w:rsidRPr="003355B8" w:rsidRDefault="004A25E8" w:rsidP="00F211D8">
      <w:pPr>
        <w:spacing w:after="120" w:line="360" w:lineRule="auto"/>
        <w:jc w:val="both"/>
        <w:rPr>
          <w:rFonts w:ascii="Times" w:hAnsi="Times" w:cs="Cambria Math"/>
          <w:color w:val="auto"/>
          <w:sz w:val="20"/>
          <w:szCs w:val="24"/>
          <w:lang w:val="en-GB" w:eastAsia="de-DE"/>
        </w:rPr>
      </w:pPr>
      <w:r w:rsidRPr="003355B8">
        <w:rPr>
          <w:rFonts w:ascii="Times" w:hAnsi="Times" w:cs="Cambria Math"/>
          <w:color w:val="auto"/>
          <w:sz w:val="20"/>
          <w:szCs w:val="24"/>
          <w:lang w:val="en-GB" w:eastAsia="de-DE"/>
        </w:rPr>
        <w:t>Based on the system of three differential equations (</w:t>
      </w:r>
      <w:proofErr w:type="spellStart"/>
      <w:r w:rsidRPr="003355B8">
        <w:rPr>
          <w:rFonts w:ascii="Times" w:hAnsi="Times" w:cs="Cambria Math"/>
          <w:color w:val="auto"/>
          <w:sz w:val="20"/>
          <w:szCs w:val="24"/>
          <w:lang w:val="en-GB" w:eastAsia="de-DE"/>
        </w:rPr>
        <w:t>Eqs</w:t>
      </w:r>
      <w:proofErr w:type="spellEnd"/>
      <w:r w:rsidRPr="003355B8">
        <w:rPr>
          <w:rFonts w:ascii="Times" w:hAnsi="Times" w:cs="Cambria Math"/>
          <w:color w:val="auto"/>
          <w:sz w:val="20"/>
          <w:szCs w:val="24"/>
          <w:lang w:val="en-GB" w:eastAsia="de-DE"/>
        </w:rPr>
        <w:t xml:space="preserve">. </w:t>
      </w:r>
      <w:r w:rsidR="000A0C0D" w:rsidRPr="003355B8">
        <w:rPr>
          <w:rFonts w:ascii="Times" w:hAnsi="Times" w:cs="Cambria Math"/>
          <w:color w:val="auto"/>
          <w:sz w:val="20"/>
          <w:szCs w:val="24"/>
          <w:lang w:val="en-GB" w:eastAsia="de-DE"/>
        </w:rPr>
        <w:t>A</w:t>
      </w:r>
      <w:r w:rsidRPr="003355B8">
        <w:rPr>
          <w:rFonts w:ascii="Times" w:hAnsi="Times" w:cs="Cambria Math"/>
          <w:color w:val="auto"/>
          <w:sz w:val="20"/>
          <w:szCs w:val="24"/>
          <w:lang w:val="en-GB" w:eastAsia="de-DE"/>
        </w:rPr>
        <w:t>1,</w:t>
      </w:r>
      <w:r w:rsidR="000A0C0D" w:rsidRPr="003355B8">
        <w:rPr>
          <w:rFonts w:ascii="Times" w:hAnsi="Times" w:cs="Cambria Math"/>
          <w:color w:val="auto"/>
          <w:sz w:val="20"/>
          <w:szCs w:val="24"/>
          <w:lang w:val="en-GB" w:eastAsia="de-DE"/>
        </w:rPr>
        <w:t xml:space="preserve"> A</w:t>
      </w:r>
      <w:r w:rsidRPr="003355B8">
        <w:rPr>
          <w:rFonts w:ascii="Times" w:hAnsi="Times" w:cs="Cambria Math"/>
          <w:color w:val="auto"/>
          <w:sz w:val="20"/>
          <w:szCs w:val="24"/>
          <w:lang w:val="en-GB" w:eastAsia="de-DE"/>
        </w:rPr>
        <w:t xml:space="preserve">4 and </w:t>
      </w:r>
      <w:r w:rsidR="000A0C0D" w:rsidRPr="003355B8">
        <w:rPr>
          <w:rFonts w:ascii="Times" w:hAnsi="Times" w:cs="Cambria Math"/>
          <w:color w:val="auto"/>
          <w:sz w:val="20"/>
          <w:szCs w:val="24"/>
          <w:lang w:val="en-GB" w:eastAsia="de-DE"/>
        </w:rPr>
        <w:t>A</w:t>
      </w:r>
      <w:r w:rsidRPr="003355B8">
        <w:rPr>
          <w:rFonts w:ascii="Times" w:hAnsi="Times" w:cs="Cambria Math"/>
          <w:color w:val="auto"/>
          <w:sz w:val="20"/>
          <w:szCs w:val="24"/>
          <w:lang w:val="en-GB" w:eastAsia="de-DE"/>
        </w:rPr>
        <w:t>5), the sustainable equilibria, i.e., long-term system outcomes that satisfy the stability condition and PIP Participation Constraint (PPC), can be expressed as follows:</w:t>
      </w:r>
    </w:p>
    <w:p w14:paraId="1F78744E" w14:textId="253ECE6F" w:rsidR="004A25E8" w:rsidRPr="003355B8" w:rsidRDefault="006939CF" w:rsidP="00922806">
      <w:pPr>
        <w:tabs>
          <w:tab w:val="left" w:pos="720"/>
          <w:tab w:val="left" w:pos="1440"/>
          <w:tab w:val="left" w:pos="2160"/>
          <w:tab w:val="left" w:pos="2880"/>
          <w:tab w:val="left" w:pos="3600"/>
          <w:tab w:val="left" w:pos="4320"/>
          <w:tab w:val="center" w:pos="4680"/>
          <w:tab w:val="left" w:pos="5040"/>
          <w:tab w:val="left" w:pos="5760"/>
          <w:tab w:val="left" w:pos="6480"/>
          <w:tab w:val="left" w:pos="7200"/>
          <w:tab w:val="right" w:pos="9360"/>
        </w:tabs>
        <w:bidi/>
        <w:spacing w:after="120" w:line="360" w:lineRule="auto"/>
        <w:rPr>
          <w:rFonts w:ascii="Times" w:hAnsi="Times" w:cs="Times New Roman"/>
          <w:color w:val="auto"/>
          <w:sz w:val="20"/>
          <w:szCs w:val="24"/>
          <w:lang w:val="en-GB" w:eastAsia="de-DE"/>
        </w:rPr>
      </w:pPr>
      <m:oMath>
        <m:r>
          <w:rPr>
            <w:rFonts w:ascii="Cambria Math" w:hAnsi="Cambria Math" w:cs="Cambria Math"/>
            <w:color w:val="auto"/>
            <w:sz w:val="20"/>
            <w:szCs w:val="20"/>
          </w:rPr>
          <m:t xml:space="preserve"> </m:t>
        </m:r>
        <m:sSubSup>
          <m:sSubSupPr>
            <m:ctrlPr>
              <w:rPr>
                <w:rFonts w:ascii="Cambria Math" w:hAnsi="Cambria Math" w:cs="Cambria Math"/>
                <w:i/>
                <w:color w:val="auto"/>
                <w:sz w:val="20"/>
                <w:szCs w:val="20"/>
              </w:rPr>
            </m:ctrlPr>
          </m:sSubSupPr>
          <m:e>
            <m:r>
              <w:rPr>
                <w:rFonts w:ascii="Cambria Math" w:hAnsi="Cambria Math" w:cs="Cambria Math"/>
                <w:color w:val="auto"/>
                <w:sz w:val="20"/>
                <w:szCs w:val="20"/>
              </w:rPr>
              <m:t>i</m:t>
            </m:r>
          </m:e>
          <m:sub>
            <m:r>
              <w:rPr>
                <w:rFonts w:ascii="Cambria Math" w:hAnsi="Cambria Math" w:cs="Cambria Math"/>
                <w:color w:val="auto"/>
                <w:sz w:val="20"/>
                <w:szCs w:val="20"/>
              </w:rPr>
              <m:t>HM</m:t>
            </m:r>
          </m:sub>
          <m:sup>
            <m:r>
              <w:rPr>
                <w:rFonts w:ascii="Cambria Math" w:hAnsi="Cambria Math" w:cs="Cambria Math"/>
                <w:color w:val="auto"/>
                <w:sz w:val="20"/>
                <w:szCs w:val="20"/>
              </w:rPr>
              <m:t>*</m:t>
            </m:r>
          </m:sup>
        </m:sSubSup>
        <m:r>
          <w:rPr>
            <w:rFonts w:ascii="Cambria Math" w:hAnsi="Cambria Math" w:cs="Cambria Math"/>
            <w:color w:val="auto"/>
            <w:sz w:val="20"/>
            <w:szCs w:val="20"/>
          </w:rPr>
          <m:t>=</m:t>
        </m:r>
        <m:f>
          <m:fPr>
            <m:ctrlPr>
              <w:rPr>
                <w:rFonts w:ascii="Cambria Math" w:hAnsi="Cambria Math" w:cs="Cambria Math"/>
                <w:i/>
                <w:color w:val="auto"/>
                <w:sz w:val="20"/>
                <w:szCs w:val="20"/>
              </w:rPr>
            </m:ctrlPr>
          </m:fPr>
          <m:num>
            <m:r>
              <w:rPr>
                <w:rFonts w:ascii="Cambria Math" w:hAnsi="Cambria Math" w:cs="Cambria Math"/>
                <w:color w:val="auto"/>
                <w:sz w:val="20"/>
                <w:szCs w:val="20"/>
              </w:rPr>
              <m:t>yC</m:t>
            </m:r>
            <m:sSup>
              <m:sSupPr>
                <m:ctrlPr>
                  <w:rPr>
                    <w:rFonts w:ascii="Cambria Math" w:hAnsi="Cambria Math" w:cs="Cambria Math"/>
                    <w:i/>
                    <w:color w:val="auto"/>
                    <w:sz w:val="20"/>
                    <w:szCs w:val="20"/>
                  </w:rPr>
                </m:ctrlPr>
              </m:sSupPr>
              <m:e>
                <m:r>
                  <w:rPr>
                    <w:rFonts w:ascii="Cambria Math" w:hAnsi="Cambria Math" w:cs="Cambria Math"/>
                    <w:color w:val="auto"/>
                    <w:sz w:val="20"/>
                    <w:szCs w:val="20"/>
                  </w:rPr>
                  <m:t>R</m:t>
                </m:r>
              </m:e>
              <m:sup>
                <m:r>
                  <w:rPr>
                    <w:rFonts w:ascii="Cambria Math" w:hAnsi="Cambria Math" w:cs="Cambria Math"/>
                    <w:color w:val="auto"/>
                    <w:sz w:val="20"/>
                    <w:szCs w:val="20"/>
                  </w:rPr>
                  <m:t>*</m:t>
                </m:r>
              </m:sup>
            </m:sSup>
            <m:sSup>
              <m:sSupPr>
                <m:ctrlPr>
                  <w:rPr>
                    <w:rFonts w:ascii="Cambria Math" w:hAnsi="Cambria Math" w:cs="Cambria Math"/>
                    <w:i/>
                    <w:color w:val="auto"/>
                    <w:sz w:val="20"/>
                    <w:szCs w:val="20"/>
                  </w:rPr>
                </m:ctrlPr>
              </m:sSupPr>
              <m:e>
                <m:r>
                  <w:rPr>
                    <w:rFonts w:ascii="Cambria Math" w:hAnsi="Cambria Math" w:cs="Cambria Math"/>
                    <w:color w:val="auto"/>
                    <w:sz w:val="20"/>
                    <w:szCs w:val="20"/>
                  </w:rPr>
                  <m:t>U</m:t>
                </m:r>
              </m:e>
              <m:sup>
                <m:r>
                  <w:rPr>
                    <w:rFonts w:ascii="Cambria Math" w:hAnsi="Cambria Math" w:cs="Cambria Math"/>
                    <w:color w:val="auto"/>
                    <w:sz w:val="20"/>
                    <w:szCs w:val="20"/>
                  </w:rPr>
                  <m:t>*</m:t>
                </m:r>
              </m:sup>
            </m:sSup>
            <m:r>
              <w:rPr>
                <w:rFonts w:ascii="Cambria Math" w:hAnsi="Cambria Math" w:cs="Cambria Math"/>
                <w:color w:val="auto"/>
                <w:sz w:val="20"/>
                <w:szCs w:val="20"/>
              </w:rPr>
              <m:t>N</m:t>
            </m:r>
          </m:num>
          <m:den>
            <m:r>
              <w:rPr>
                <w:rFonts w:ascii="Cambria Math" w:hAnsi="Cambria Math" w:cs="Cambria Math"/>
                <w:color w:val="auto"/>
                <w:sz w:val="20"/>
                <w:szCs w:val="20"/>
              </w:rPr>
              <m:t>g</m:t>
            </m:r>
          </m:den>
        </m:f>
        <m:r>
          <w:rPr>
            <w:rFonts w:ascii="Cambria Math" w:hAnsi="Cambria Math" w:cs="Cambria Math"/>
            <w:color w:val="auto"/>
            <w:sz w:val="20"/>
            <w:szCs w:val="20"/>
          </w:rPr>
          <m:t>H</m:t>
        </m:r>
        <m:d>
          <m:dPr>
            <m:ctrlPr>
              <w:rPr>
                <w:rFonts w:ascii="Cambria Math" w:hAnsi="Cambria Math" w:cs="Cambria Math"/>
                <w:i/>
                <w:color w:val="auto"/>
                <w:sz w:val="20"/>
                <w:szCs w:val="20"/>
              </w:rPr>
            </m:ctrlPr>
          </m:dPr>
          <m:e>
            <m:sSubSup>
              <m:sSubSupPr>
                <m:ctrlPr>
                  <w:rPr>
                    <w:rFonts w:ascii="Cambria Math" w:hAnsi="Cambria Math" w:cs="Cambria Math"/>
                    <w:i/>
                    <w:color w:val="auto"/>
                    <w:sz w:val="20"/>
                    <w:szCs w:val="20"/>
                  </w:rPr>
                </m:ctrlPr>
              </m:sSubSupPr>
              <m:e>
                <m:r>
                  <w:rPr>
                    <w:rFonts w:ascii="Cambria Math" w:hAnsi="Cambria Math" w:cs="Cambria Math"/>
                    <w:color w:val="auto"/>
                    <w:sz w:val="20"/>
                    <w:szCs w:val="20"/>
                  </w:rPr>
                  <m:t>I</m:t>
                </m:r>
              </m:e>
              <m:sub>
                <m:r>
                  <w:rPr>
                    <w:rFonts w:ascii="Cambria Math" w:hAnsi="Cambria Math" w:cs="Cambria Math"/>
                    <w:color w:val="auto"/>
                    <w:sz w:val="20"/>
                    <w:szCs w:val="20"/>
                  </w:rPr>
                  <m:t>HM</m:t>
                </m:r>
              </m:sub>
              <m:sup>
                <m:r>
                  <w:rPr>
                    <w:rFonts w:ascii="Cambria Math" w:hAnsi="Cambria Math" w:cs="Cambria Math"/>
                    <w:color w:val="auto"/>
                    <w:sz w:val="20"/>
                    <w:szCs w:val="20"/>
                  </w:rPr>
                  <m:t>*</m:t>
                </m:r>
              </m:sup>
            </m:sSubSup>
          </m:e>
        </m:d>
        <m:r>
          <w:rPr>
            <w:rFonts w:ascii="Cambria Math" w:hAnsi="Cambria Math" w:cs="Cambria Math"/>
            <w:color w:val="auto"/>
            <w:sz w:val="20"/>
            <w:szCs w:val="20"/>
          </w:rPr>
          <m:t xml:space="preserve">; </m:t>
        </m:r>
        <m:sSup>
          <m:sSupPr>
            <m:ctrlPr>
              <w:rPr>
                <w:rFonts w:ascii="Cambria Math" w:hAnsi="Cambria Math" w:cs="Cambria Math"/>
                <w:i/>
                <w:color w:val="auto"/>
                <w:sz w:val="20"/>
                <w:szCs w:val="20"/>
              </w:rPr>
            </m:ctrlPr>
          </m:sSupPr>
          <m:e>
            <m:r>
              <w:rPr>
                <w:rFonts w:ascii="Cambria Math" w:hAnsi="Cambria Math" w:cs="Cambria Math"/>
                <w:color w:val="auto"/>
                <w:sz w:val="20"/>
                <w:szCs w:val="20"/>
              </w:rPr>
              <m:t>R</m:t>
            </m:r>
          </m:e>
          <m:sup>
            <m:r>
              <w:rPr>
                <w:rFonts w:ascii="Cambria Math" w:hAnsi="Cambria Math" w:cs="Cambria Math"/>
                <w:color w:val="auto"/>
                <w:sz w:val="20"/>
                <w:szCs w:val="20"/>
              </w:rPr>
              <m:t>*</m:t>
            </m:r>
          </m:sup>
        </m:sSup>
        <m:r>
          <w:rPr>
            <w:rFonts w:ascii="Cambria Math" w:hAnsi="Cambria Math" w:cs="Cambria Math"/>
            <w:color w:val="auto"/>
            <w:sz w:val="20"/>
            <w:szCs w:val="20"/>
          </w:rPr>
          <m:t>=</m:t>
        </m:r>
        <m:f>
          <m:fPr>
            <m:ctrlPr>
              <w:rPr>
                <w:rFonts w:ascii="Cambria Math" w:hAnsi="Cambria Math" w:cs="Cambria Math"/>
                <w:i/>
                <w:color w:val="auto"/>
                <w:sz w:val="20"/>
                <w:szCs w:val="20"/>
              </w:rPr>
            </m:ctrlPr>
          </m:fPr>
          <m:num>
            <m:r>
              <w:rPr>
                <w:rFonts w:ascii="Cambria Math" w:hAnsi="Cambria Math" w:cs="Cambria Math"/>
                <w:color w:val="auto"/>
                <w:sz w:val="20"/>
                <w:szCs w:val="20"/>
              </w:rPr>
              <m:t>g</m:t>
            </m:r>
          </m:num>
          <m:den>
            <m:r>
              <w:rPr>
                <w:rFonts w:ascii="Cambria Math" w:hAnsi="Cambria Math" w:cs="Cambria Math"/>
                <w:color w:val="auto"/>
                <w:sz w:val="20"/>
                <w:szCs w:val="20"/>
              </w:rPr>
              <m:t>d</m:t>
            </m:r>
          </m:den>
        </m:f>
        <m:d>
          <m:dPr>
            <m:ctrlPr>
              <w:rPr>
                <w:rFonts w:ascii="Cambria Math" w:hAnsi="Cambria Math" w:cs="Cambria Math"/>
                <w:i/>
                <w:color w:val="auto"/>
                <w:sz w:val="20"/>
                <w:szCs w:val="20"/>
              </w:rPr>
            </m:ctrlPr>
          </m:dPr>
          <m:e>
            <m:r>
              <w:rPr>
                <w:rFonts w:ascii="Cambria Math" w:hAnsi="Cambria Math" w:cs="Cambria Math"/>
                <w:color w:val="auto"/>
                <w:sz w:val="20"/>
                <w:szCs w:val="20"/>
              </w:rPr>
              <m:t>1-</m:t>
            </m:r>
            <m:f>
              <m:fPr>
                <m:ctrlPr>
                  <w:rPr>
                    <w:rFonts w:ascii="Cambria Math" w:hAnsi="Cambria Math" w:cs="Cambria Math"/>
                    <w:i/>
                    <w:color w:val="auto"/>
                    <w:sz w:val="20"/>
                    <w:szCs w:val="20"/>
                  </w:rPr>
                </m:ctrlPr>
              </m:fPr>
              <m:num>
                <m:sSubSup>
                  <m:sSubSupPr>
                    <m:ctrlPr>
                      <w:rPr>
                        <w:rFonts w:ascii="Cambria Math" w:hAnsi="Cambria Math" w:cs="Cambria Math"/>
                        <w:i/>
                        <w:color w:val="auto"/>
                        <w:sz w:val="20"/>
                        <w:szCs w:val="20"/>
                      </w:rPr>
                    </m:ctrlPr>
                  </m:sSubSupPr>
                  <m:e>
                    <m:r>
                      <w:rPr>
                        <w:rFonts w:ascii="Cambria Math" w:hAnsi="Cambria Math" w:cs="Cambria Math"/>
                        <w:color w:val="auto"/>
                        <w:sz w:val="20"/>
                        <w:szCs w:val="20"/>
                      </w:rPr>
                      <m:t>i</m:t>
                    </m:r>
                  </m:e>
                  <m:sub>
                    <m:r>
                      <w:rPr>
                        <w:rFonts w:ascii="Cambria Math" w:hAnsi="Cambria Math" w:cs="Cambria Math"/>
                        <w:color w:val="auto"/>
                        <w:sz w:val="20"/>
                        <w:szCs w:val="20"/>
                      </w:rPr>
                      <m:t>HM</m:t>
                    </m:r>
                  </m:sub>
                  <m:sup>
                    <m:r>
                      <w:rPr>
                        <w:rFonts w:ascii="Cambria Math" w:hAnsi="Cambria Math" w:cs="Cambria Math"/>
                        <w:color w:val="auto"/>
                        <w:sz w:val="20"/>
                        <w:szCs w:val="20"/>
                      </w:rPr>
                      <m:t>*</m:t>
                    </m:r>
                  </m:sup>
                </m:sSubSup>
              </m:num>
              <m:den>
                <m:r>
                  <w:rPr>
                    <w:rFonts w:ascii="Cambria Math" w:hAnsi="Cambria Math" w:cs="Cambria Math"/>
                    <w:color w:val="auto"/>
                    <w:sz w:val="20"/>
                    <w:szCs w:val="20"/>
                  </w:rPr>
                  <m:t>yC</m:t>
                </m:r>
              </m:den>
            </m:f>
          </m:e>
        </m:d>
        <m:r>
          <w:rPr>
            <w:rFonts w:ascii="Cambria Math" w:hAnsi="Cambria Math" w:cs="Cambria Math"/>
            <w:color w:val="auto"/>
            <w:sz w:val="20"/>
            <w:szCs w:val="20"/>
          </w:rPr>
          <m:t xml:space="preserve">; </m:t>
        </m:r>
        <m:sSup>
          <m:sSupPr>
            <m:ctrlPr>
              <w:rPr>
                <w:rFonts w:ascii="Cambria Math" w:hAnsi="Cambria Math" w:cs="Cambria Math"/>
                <w:i/>
                <w:color w:val="auto"/>
                <w:sz w:val="20"/>
                <w:szCs w:val="20"/>
              </w:rPr>
            </m:ctrlPr>
          </m:sSupPr>
          <m:e>
            <m:r>
              <w:rPr>
                <w:rFonts w:ascii="Cambria Math" w:hAnsi="Cambria Math" w:cs="Cambria Math"/>
                <w:color w:val="auto"/>
                <w:sz w:val="20"/>
                <w:szCs w:val="20"/>
              </w:rPr>
              <m:t>U</m:t>
            </m:r>
          </m:e>
          <m:sup>
            <m:r>
              <w:rPr>
                <w:rFonts w:ascii="Cambria Math" w:hAnsi="Cambria Math" w:cs="Cambria Math"/>
                <w:color w:val="auto"/>
                <w:sz w:val="20"/>
                <w:szCs w:val="20"/>
              </w:rPr>
              <m:t>*</m:t>
            </m:r>
          </m:sup>
        </m:sSup>
        <m:r>
          <w:rPr>
            <w:rFonts w:ascii="Cambria Math" w:hAnsi="Cambria Math" w:cs="Cambria Math"/>
            <w:color w:val="auto"/>
            <w:sz w:val="20"/>
            <w:szCs w:val="20"/>
          </w:rPr>
          <m:t>=</m:t>
        </m:r>
        <m:f>
          <m:fPr>
            <m:ctrlPr>
              <w:rPr>
                <w:rFonts w:ascii="Cambria Math" w:hAnsi="Cambria Math" w:cs="Cambria Math"/>
                <w:i/>
                <w:color w:val="auto"/>
                <w:sz w:val="20"/>
                <w:szCs w:val="20"/>
              </w:rPr>
            </m:ctrlPr>
          </m:fPr>
          <m:num>
            <m:r>
              <w:rPr>
                <w:rFonts w:ascii="Cambria Math" w:hAnsi="Cambria Math" w:cs="Cambria Math"/>
                <w:color w:val="auto"/>
                <w:sz w:val="20"/>
                <w:szCs w:val="20"/>
              </w:rPr>
              <m:t>(1-C)</m:t>
            </m:r>
          </m:num>
          <m:den>
            <m:r>
              <w:rPr>
                <w:rFonts w:ascii="Cambria Math" w:hAnsi="Cambria Math" w:cs="Cambria Math"/>
                <w:color w:val="auto"/>
                <w:sz w:val="20"/>
                <w:szCs w:val="20"/>
              </w:rPr>
              <m:t>yC</m:t>
            </m:r>
          </m:den>
        </m:f>
        <m:sSub>
          <m:sSubPr>
            <m:ctrlPr>
              <w:rPr>
                <w:rFonts w:ascii="Cambria Math" w:hAnsi="Cambria Math" w:cs="Cambria Math"/>
                <w:i/>
                <w:color w:val="auto"/>
                <w:sz w:val="20"/>
                <w:szCs w:val="20"/>
              </w:rPr>
            </m:ctrlPr>
          </m:sSubPr>
          <m:e>
            <m:r>
              <w:rPr>
                <w:rFonts w:ascii="Cambria Math" w:hAnsi="Cambria Math" w:cs="Cambria Math"/>
                <w:color w:val="auto"/>
                <w:sz w:val="20"/>
                <w:szCs w:val="20"/>
              </w:rPr>
              <m:t>∅</m:t>
            </m:r>
          </m:e>
          <m:sub>
            <m:r>
              <w:rPr>
                <w:rFonts w:ascii="Cambria Math" w:hAnsi="Cambria Math" w:cs="Cambria Math"/>
                <w:color w:val="auto"/>
                <w:sz w:val="20"/>
                <w:szCs w:val="20"/>
              </w:rPr>
              <m:t>1</m:t>
            </m:r>
          </m:sub>
        </m:sSub>
        <m:sSubSup>
          <m:sSubSupPr>
            <m:ctrlPr>
              <w:rPr>
                <w:rFonts w:ascii="Cambria Math" w:hAnsi="Cambria Math" w:cs="Cambria Math"/>
                <w:i/>
                <w:color w:val="auto"/>
                <w:sz w:val="20"/>
                <w:szCs w:val="20"/>
              </w:rPr>
            </m:ctrlPr>
          </m:sSubSupPr>
          <m:e>
            <m:r>
              <w:rPr>
                <w:rFonts w:ascii="Cambria Math" w:hAnsi="Cambria Math" w:cs="Cambria Math"/>
                <w:color w:val="auto"/>
                <w:sz w:val="20"/>
                <w:szCs w:val="20"/>
              </w:rPr>
              <m:t>i</m:t>
            </m:r>
          </m:e>
          <m:sub>
            <m:r>
              <w:rPr>
                <w:rFonts w:ascii="Cambria Math" w:hAnsi="Cambria Math" w:cs="Cambria Math"/>
                <w:color w:val="auto"/>
                <w:sz w:val="20"/>
                <w:szCs w:val="20"/>
              </w:rPr>
              <m:t>HM</m:t>
            </m:r>
          </m:sub>
          <m:sup>
            <m:r>
              <w:rPr>
                <w:rFonts w:ascii="Cambria Math" w:hAnsi="Cambria Math" w:cs="Cambria Math"/>
                <w:color w:val="auto"/>
                <w:sz w:val="20"/>
                <w:szCs w:val="20"/>
              </w:rPr>
              <m:t>*</m:t>
            </m:r>
          </m:sup>
        </m:sSubSup>
        <m:r>
          <w:rPr>
            <w:rFonts w:ascii="Cambria Math" w:hAnsi="Cambria Math" w:cs="Cambria Math"/>
            <w:color w:val="auto"/>
            <w:sz w:val="20"/>
            <w:szCs w:val="20"/>
          </w:rPr>
          <m:t xml:space="preserve">,                                            </m:t>
        </m:r>
        <m:r>
          <m:rPr>
            <m:sty m:val="p"/>
          </m:rPr>
          <w:rPr>
            <w:rFonts w:ascii="Cambria Math" w:hAnsi="Cambria Math" w:cs="Times New Roman"/>
            <w:color w:val="auto"/>
            <w:sz w:val="20"/>
            <w:szCs w:val="24"/>
            <w:lang w:val="en-GB" w:eastAsia="de-DE"/>
          </w:rPr>
          <m:t>(A6)</m:t>
        </m:r>
        <m:r>
          <w:rPr>
            <w:rFonts w:ascii="Cambria Math" w:hAnsi="Cambria Math" w:cs="Cambria Math"/>
            <w:color w:val="auto"/>
            <w:sz w:val="20"/>
            <w:szCs w:val="20"/>
          </w:rPr>
          <m:t xml:space="preserve"> </m:t>
        </m:r>
      </m:oMath>
      <w:r w:rsidR="004A25E8" w:rsidRPr="003355B8">
        <w:rPr>
          <w:rFonts w:ascii="Times" w:hAnsi="Times" w:cs="Times New Roman"/>
          <w:color w:val="auto"/>
          <w:sz w:val="24"/>
          <w:szCs w:val="24"/>
        </w:rPr>
        <w:tab/>
      </w:r>
    </w:p>
    <w:p w14:paraId="64D7582C" w14:textId="454C33B1" w:rsidR="008650C0" w:rsidRPr="003355B8" w:rsidRDefault="004A25E8" w:rsidP="003557E4">
      <w:pPr>
        <w:spacing w:after="120" w:line="360" w:lineRule="auto"/>
        <w:jc w:val="both"/>
        <w:rPr>
          <w:rFonts w:ascii="Times" w:hAnsi="Times" w:cs="Cambria Math"/>
          <w:color w:val="auto"/>
          <w:sz w:val="20"/>
          <w:szCs w:val="24"/>
          <w:lang w:val="en-GB" w:eastAsia="de-DE"/>
        </w:rPr>
      </w:pPr>
      <w:r w:rsidRPr="003355B8">
        <w:rPr>
          <w:rFonts w:ascii="Times" w:hAnsi="Times" w:cs="Cambria Math"/>
          <w:color w:val="auto"/>
          <w:sz w:val="20"/>
          <w:szCs w:val="24"/>
          <w:lang w:val="en-GB" w:eastAsia="de-DE"/>
        </w:rPr>
        <w:lastRenderedPageBreak/>
        <w:t xml:space="preserve">where </w:t>
      </w:r>
      <m:oMath>
        <m:sSubSup>
          <m:sSubSupPr>
            <m:ctrlPr>
              <w:rPr>
                <w:rFonts w:ascii="Cambria Math" w:hAnsi="Cambria Math" w:cs="Cambria Math"/>
                <w:color w:val="auto"/>
                <w:sz w:val="20"/>
                <w:szCs w:val="24"/>
                <w:lang w:val="en-GB" w:eastAsia="de-DE"/>
              </w:rPr>
            </m:ctrlPr>
          </m:sSubSup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up>
            <m:r>
              <m:rPr>
                <m:sty m:val="p"/>
              </m:rPr>
              <w:rPr>
                <w:rFonts w:ascii="Cambria Math" w:hAnsi="Cambria Math" w:cs="Cambria Math"/>
                <w:color w:val="auto"/>
                <w:sz w:val="20"/>
                <w:szCs w:val="24"/>
                <w:lang w:val="en-GB" w:eastAsia="de-DE"/>
              </w:rPr>
              <m:t>*</m:t>
            </m:r>
          </m:sup>
        </m:sSubSup>
        <m:r>
          <m:rPr>
            <m:sty m:val="p"/>
          </m:rPr>
          <w:rPr>
            <w:rFonts w:ascii="Cambria Math" w:hAnsi="Cambria Math" w:cs="Cambria Math"/>
            <w:color w:val="auto"/>
            <w:sz w:val="20"/>
            <w:szCs w:val="24"/>
            <w:lang w:val="en-GB" w:eastAsia="de-DE"/>
          </w:rPr>
          <m:t>≔</m:t>
        </m:r>
        <m:f>
          <m:fPr>
            <m:ctrlPr>
              <w:rPr>
                <w:rFonts w:ascii="Cambria Math" w:hAnsi="Cambria Math" w:cs="Cambria Math"/>
                <w:color w:val="auto"/>
                <w:sz w:val="20"/>
                <w:szCs w:val="24"/>
                <w:lang w:val="en-GB" w:eastAsia="de-DE"/>
              </w:rPr>
            </m:ctrlPr>
          </m:fPr>
          <m:num>
            <m:sSubSup>
              <m:sSubSupPr>
                <m:ctrlPr>
                  <w:rPr>
                    <w:rFonts w:ascii="Cambria Math" w:hAnsi="Cambria Math" w:cs="Cambria Math"/>
                    <w:color w:val="auto"/>
                    <w:sz w:val="20"/>
                    <w:szCs w:val="24"/>
                    <w:lang w:val="en-GB" w:eastAsia="de-DE"/>
                  </w:rPr>
                </m:ctrlPr>
              </m:sSubSupPr>
              <m:e>
                <m:r>
                  <w:rPr>
                    <w:rFonts w:ascii="Cambria Math" w:hAnsi="Cambria Math" w:cs="Cambria Math"/>
                    <w:color w:val="auto"/>
                    <w:sz w:val="20"/>
                    <w:szCs w:val="24"/>
                    <w:lang w:val="en-GB" w:eastAsia="de-DE"/>
                  </w:rPr>
                  <m:t>I</m:t>
                </m:r>
              </m:e>
              <m:sub>
                <m:r>
                  <w:rPr>
                    <w:rFonts w:ascii="Cambria Math" w:hAnsi="Cambria Math" w:cs="Cambria Math"/>
                    <w:color w:val="auto"/>
                    <w:sz w:val="20"/>
                    <w:szCs w:val="24"/>
                    <w:lang w:val="en-GB" w:eastAsia="de-DE"/>
                  </w:rPr>
                  <m:t>HM</m:t>
                </m:r>
              </m:sub>
              <m:sup>
                <m:r>
                  <m:rPr>
                    <m:sty m:val="p"/>
                  </m:rPr>
                  <w:rPr>
                    <w:rFonts w:ascii="Cambria Math" w:hAnsi="Cambria Math" w:cs="Cambria Math"/>
                    <w:color w:val="auto"/>
                    <w:sz w:val="20"/>
                    <w:szCs w:val="24"/>
                    <w:lang w:val="en-GB" w:eastAsia="de-DE"/>
                  </w:rPr>
                  <m:t>*</m:t>
                </m:r>
              </m:sup>
            </m:sSubSup>
            <m:r>
              <w:rPr>
                <w:rFonts w:ascii="Cambria Math" w:hAnsi="Cambria Math" w:cs="Cambria Math"/>
                <w:color w:val="auto"/>
                <w:sz w:val="20"/>
                <w:szCs w:val="24"/>
                <w:lang w:val="en-GB" w:eastAsia="de-DE"/>
              </w:rPr>
              <m:t>δ</m:t>
            </m:r>
          </m:num>
          <m:den>
            <m:sSub>
              <m:sSubPr>
                <m:ctrlPr>
                  <w:rPr>
                    <w:rFonts w:ascii="Cambria Math" w:hAnsi="Cambria Math" w:cs="Cambria Math"/>
                    <w:color w:val="auto"/>
                    <w:sz w:val="20"/>
                    <w:szCs w:val="24"/>
                    <w:lang w:val="en-GB" w:eastAsia="de-DE"/>
                  </w:rPr>
                </m:ctrlPr>
              </m:sSubPr>
              <m:e>
                <m:r>
                  <w:rPr>
                    <w:rFonts w:ascii="Cambria Math" w:hAnsi="Cambria Math" w:cs="Cambria Math"/>
                    <w:color w:val="auto"/>
                    <w:sz w:val="20"/>
                    <w:szCs w:val="24"/>
                    <w:lang w:val="en-GB" w:eastAsia="de-DE"/>
                  </w:rPr>
                  <m:t>μ</m:t>
                </m:r>
              </m:e>
              <m:sub>
                <m:r>
                  <m:rPr>
                    <m:sty m:val="p"/>
                  </m:rPr>
                  <w:rPr>
                    <w:rFonts w:ascii="Cambria Math" w:hAnsi="Cambria Math" w:cs="Cambria Math"/>
                    <w:color w:val="auto"/>
                    <w:sz w:val="20"/>
                    <w:szCs w:val="24"/>
                    <w:lang w:val="en-GB" w:eastAsia="de-DE"/>
                  </w:rPr>
                  <m:t>2</m:t>
                </m:r>
              </m:sub>
            </m:sSub>
            <m:r>
              <w:rPr>
                <w:rFonts w:ascii="Cambria Math" w:hAnsi="Cambria Math" w:cs="Cambria Math"/>
                <w:color w:val="auto"/>
                <w:sz w:val="20"/>
                <w:szCs w:val="24"/>
                <w:lang w:val="en-GB" w:eastAsia="de-DE"/>
              </w:rPr>
              <m:t>pg</m:t>
            </m:r>
          </m:den>
        </m:f>
        <m:r>
          <m:rPr>
            <m:sty m:val="p"/>
          </m:rPr>
          <w:rPr>
            <w:rFonts w:ascii="Cambria Math" w:hAnsi="Cambria Math" w:cs="Cambria Math"/>
            <w:color w:val="auto"/>
            <w:sz w:val="20"/>
            <w:szCs w:val="24"/>
            <w:lang w:val="en-GB" w:eastAsia="de-DE"/>
          </w:rPr>
          <m:t>[-]</m:t>
        </m:r>
      </m:oMath>
      <w:r w:rsidRPr="003355B8">
        <w:rPr>
          <w:rFonts w:ascii="Times" w:hAnsi="Times" w:cs="Cambria Math"/>
          <w:color w:val="auto"/>
          <w:sz w:val="20"/>
          <w:szCs w:val="24"/>
          <w:lang w:val="en-GB" w:eastAsia="de-DE"/>
        </w:rPr>
        <w:t xml:space="preserve"> (</w:t>
      </w:r>
      <m:oMath>
        <m:r>
          <m:rPr>
            <m:sty m:val="p"/>
          </m:rPr>
          <w:rPr>
            <w:rFonts w:ascii="Cambria Math" w:hAnsi="Cambria Math" w:cs="Cambria Math"/>
            <w:color w:val="auto"/>
            <w:sz w:val="20"/>
            <w:szCs w:val="24"/>
            <w:lang w:val="en-GB" w:eastAsia="de-DE"/>
          </w:rPr>
          <m:t>[-]</m:t>
        </m:r>
      </m:oMath>
      <w:r w:rsidR="00A10D81" w:rsidRPr="003355B8">
        <w:rPr>
          <w:rFonts w:ascii="Times" w:hAnsi="Times" w:cs="Cambria Math"/>
          <w:color w:val="auto"/>
          <w:sz w:val="20"/>
          <w:szCs w:val="24"/>
          <w:lang w:val="en-GB" w:eastAsia="de-DE"/>
        </w:rPr>
        <w:t xml:space="preserve"> indicates dimensionless).</w:t>
      </w:r>
    </w:p>
    <w:p w14:paraId="345E7D88" w14:textId="5617E0E5" w:rsidR="008650C0" w:rsidRPr="003355B8" w:rsidRDefault="008650C0" w:rsidP="008650C0">
      <w:pPr>
        <w:spacing w:after="120" w:line="240" w:lineRule="auto"/>
        <w:jc w:val="both"/>
        <w:rPr>
          <w:rFonts w:ascii="Times New Roman" w:hAnsi="Times New Roman" w:cs="Times New Roman"/>
          <w:color w:val="auto"/>
          <w:sz w:val="24"/>
          <w:szCs w:val="24"/>
        </w:rPr>
      </w:pPr>
      <w:r w:rsidRPr="003355B8">
        <w:rPr>
          <w:noProof/>
          <w:color w:val="auto"/>
        </w:rPr>
        <mc:AlternateContent>
          <mc:Choice Requires="wpg">
            <w:drawing>
              <wp:anchor distT="0" distB="0" distL="114300" distR="114300" simplePos="0" relativeHeight="251671552" behindDoc="0" locked="0" layoutInCell="1" allowOverlap="1" wp14:anchorId="1919DB02" wp14:editId="0FF39DBE">
                <wp:simplePos x="0" y="0"/>
                <wp:positionH relativeFrom="column">
                  <wp:posOffset>763905</wp:posOffset>
                </wp:positionH>
                <wp:positionV relativeFrom="paragraph">
                  <wp:posOffset>1536277</wp:posOffset>
                </wp:positionV>
                <wp:extent cx="4248011" cy="292050"/>
                <wp:effectExtent l="0" t="0" r="635"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248011" cy="292050"/>
                          <a:chOff x="0" y="0"/>
                          <a:chExt cx="4254342" cy="291992"/>
                        </a:xfrm>
                      </wpg:grpSpPr>
                      <wps:wsp>
                        <wps:cNvPr id="20" name="Text Box 20"/>
                        <wps:cNvSpPr txBox="1"/>
                        <wps:spPr>
                          <a:xfrm>
                            <a:off x="0" y="38042"/>
                            <a:ext cx="328148" cy="253950"/>
                          </a:xfrm>
                          <a:prstGeom prst="rect">
                            <a:avLst/>
                          </a:prstGeom>
                          <a:solidFill>
                            <a:schemeClr val="lt1"/>
                          </a:solidFill>
                          <a:ln w="6350">
                            <a:noFill/>
                          </a:ln>
                        </wps:spPr>
                        <wps:txbx>
                          <w:txbxContent>
                            <w:p w14:paraId="6C8B0F74" w14:textId="77777777" w:rsidR="00586A79" w:rsidRPr="00CF3BFB" w:rsidRDefault="00586A79" w:rsidP="008650C0">
                              <w:pPr>
                                <w:rPr>
                                  <w:sz w:val="20"/>
                                  <w:szCs w:val="20"/>
                                </w:rPr>
                              </w:pPr>
                              <w:r w:rsidRPr="00CF3BFB">
                                <w:rPr>
                                  <w:sz w:val="20"/>
                                  <w:szCs w:val="20"/>
                                </w:rP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1" name="Text Box 21"/>
                        <wps:cNvSpPr txBox="1"/>
                        <wps:spPr>
                          <a:xfrm>
                            <a:off x="2000250" y="18974"/>
                            <a:ext cx="333872" cy="253315"/>
                          </a:xfrm>
                          <a:prstGeom prst="rect">
                            <a:avLst/>
                          </a:prstGeom>
                          <a:solidFill>
                            <a:schemeClr val="lt1"/>
                          </a:solidFill>
                          <a:ln w="6350">
                            <a:noFill/>
                          </a:ln>
                        </wps:spPr>
                        <wps:txbx>
                          <w:txbxContent>
                            <w:p w14:paraId="09620035" w14:textId="77777777" w:rsidR="00586A79" w:rsidRPr="00CF3BFB" w:rsidRDefault="00586A79" w:rsidP="008650C0">
                              <w:pPr>
                                <w:rPr>
                                  <w:sz w:val="20"/>
                                  <w:szCs w:val="20"/>
                                </w:rPr>
                              </w:pPr>
                              <w:r w:rsidRPr="00CF3BFB">
                                <w:rPr>
                                  <w:sz w:val="20"/>
                                  <w:szCs w:val="20"/>
                                </w:rP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5" name="Text Box 25"/>
                        <wps:cNvSpPr txBox="1"/>
                        <wps:spPr>
                          <a:xfrm>
                            <a:off x="3933825" y="0"/>
                            <a:ext cx="320517" cy="253315"/>
                          </a:xfrm>
                          <a:prstGeom prst="rect">
                            <a:avLst/>
                          </a:prstGeom>
                          <a:solidFill>
                            <a:schemeClr val="lt1"/>
                          </a:solidFill>
                          <a:ln w="6350">
                            <a:noFill/>
                          </a:ln>
                        </wps:spPr>
                        <wps:txbx>
                          <w:txbxContent>
                            <w:p w14:paraId="380121FB" w14:textId="77777777" w:rsidR="00586A79" w:rsidRPr="00CF3BFB" w:rsidRDefault="00586A79" w:rsidP="008650C0">
                              <w:pPr>
                                <w:rPr>
                                  <w:sz w:val="20"/>
                                  <w:szCs w:val="20"/>
                                </w:rPr>
                              </w:pPr>
                              <w:r w:rsidRPr="00CF3BFB">
                                <w:rPr>
                                  <w:sz w:val="20"/>
                                  <w:szCs w:val="20"/>
                                </w:rP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919DB02" id="Group 2" o:spid="_x0000_s1026" style="position:absolute;left:0;text-align:left;margin-left:60.15pt;margin-top:120.95pt;width:334.5pt;height:23pt;z-index:251671552" coordsize="42543,29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">
                <v:shapetype id="_x0000_t202" coordsize="21600,21600" o:spt="202" path="m,l,21600r21600,l21600,xe">
                  <v:stroke joinstyle="miter"/>
                  <v:path gradientshapeok="t" o:connecttype="rect"/>
                </v:shapetype>
                <v:shape id="Text Box 20" o:spid="_x0000_s1027" type="#_x0000_t202" style="position:absolute;top:380;width:3281;height:25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" fillcolor="white [3201]" stroked="f" strokeweight=".5pt">
                  <v:textbox>
                    <w:txbxContent>
                      <w:p w14:paraId="6C8B0F74" w14:textId="77777777" w:rsidR="00586A79" w:rsidRPr="00CF3BFB" w:rsidRDefault="00586A79" w:rsidP="008650C0">
                        <w:pPr>
                          <w:rPr>
                            <w:sz w:val="20"/>
                            <w:szCs w:val="20"/>
                          </w:rPr>
                        </w:pPr>
                        <w:r w:rsidRPr="00CF3BFB">
                          <w:rPr>
                            <w:sz w:val="20"/>
                            <w:szCs w:val="20"/>
                          </w:rPr>
                          <w:t>(a)</w:t>
                        </w:r>
                      </w:p>
                    </w:txbxContent>
                  </v:textbox>
                </v:shape>
                <v:shape id="Text Box 21" o:spid="_x0000_s1028" type="#_x0000_t202" style="position:absolute;left:20002;top:189;width:3339;height:253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" fillcolor="white [3201]" stroked="f" strokeweight=".5pt">
                  <v:textbox>
                    <w:txbxContent>
                      <w:p w14:paraId="09620035" w14:textId="77777777" w:rsidR="00586A79" w:rsidRPr="00CF3BFB" w:rsidRDefault="00586A79" w:rsidP="008650C0">
                        <w:pPr>
                          <w:rPr>
                            <w:sz w:val="20"/>
                            <w:szCs w:val="20"/>
                          </w:rPr>
                        </w:pPr>
                        <w:r w:rsidRPr="00CF3BFB">
                          <w:rPr>
                            <w:sz w:val="20"/>
                            <w:szCs w:val="20"/>
                          </w:rPr>
                          <w:t>(b)</w:t>
                        </w:r>
                      </w:p>
                    </w:txbxContent>
                  </v:textbox>
                </v:shape>
                <v:shape id="Text Box 25" o:spid="_x0000_s1029" type="#_x0000_t202" style="position:absolute;left:39338;width:3205;height:253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" fillcolor="white [3201]" stroked="f" strokeweight=".5pt">
                  <v:textbox>
                    <w:txbxContent>
                      <w:p w14:paraId="380121FB" w14:textId="77777777" w:rsidR="00586A79" w:rsidRPr="00CF3BFB" w:rsidRDefault="00586A79" w:rsidP="008650C0">
                        <w:pPr>
                          <w:rPr>
                            <w:sz w:val="20"/>
                            <w:szCs w:val="20"/>
                          </w:rPr>
                        </w:pPr>
                        <w:r w:rsidRPr="00CF3BFB">
                          <w:rPr>
                            <w:sz w:val="20"/>
                            <w:szCs w:val="20"/>
                          </w:rPr>
                          <w:t>(c)</w:t>
                        </w:r>
                      </w:p>
                    </w:txbxContent>
                  </v:textbox>
                </v:shape>
              </v:group>
            </w:pict>
          </mc:Fallback>
        </mc:AlternateContent>
      </w:r>
      <w:r w:rsidRPr="003355B8">
        <w:rPr>
          <w:rFonts w:ascii="Times New Roman" w:hAnsi="Times New Roman" w:cs="Times New Roman"/>
          <w:noProof/>
          <w:color w:val="auto"/>
          <w:sz w:val="24"/>
          <w:szCs w:val="24"/>
        </w:rPr>
        <w:drawing>
          <wp:inline distT="0" distB="0" distL="0" distR="0" wp14:anchorId="0FF7367A" wp14:editId="19F19F7E">
            <wp:extent cx="1968500" cy="1473200"/>
            <wp:effectExtent l="0" t="0" r="0" b="0"/>
            <wp:docPr id="2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68500" cy="1473200"/>
                    </a:xfrm>
                    <a:prstGeom prst="rect">
                      <a:avLst/>
                    </a:prstGeom>
                    <a:noFill/>
                    <a:ln>
                      <a:noFill/>
                    </a:ln>
                  </pic:spPr>
                </pic:pic>
              </a:graphicData>
            </a:graphic>
          </wp:inline>
        </w:drawing>
      </w:r>
      <w:r w:rsidRPr="003355B8">
        <w:rPr>
          <w:rFonts w:ascii="Times New Roman" w:hAnsi="Times New Roman" w:cs="Times New Roman"/>
          <w:noProof/>
          <w:color w:val="auto"/>
          <w:sz w:val="24"/>
          <w:szCs w:val="24"/>
        </w:rPr>
        <w:drawing>
          <wp:inline distT="0" distB="0" distL="0" distR="0" wp14:anchorId="65806EF3" wp14:editId="0B2D59BD">
            <wp:extent cx="1968500" cy="1473200"/>
            <wp:effectExtent l="0" t="0" r="0" b="0"/>
            <wp:docPr id="3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68500" cy="1473200"/>
                    </a:xfrm>
                    <a:prstGeom prst="rect">
                      <a:avLst/>
                    </a:prstGeom>
                    <a:noFill/>
                    <a:ln>
                      <a:noFill/>
                    </a:ln>
                  </pic:spPr>
                </pic:pic>
              </a:graphicData>
            </a:graphic>
          </wp:inline>
        </w:drawing>
      </w:r>
      <w:r w:rsidRPr="003355B8">
        <w:rPr>
          <w:rFonts w:ascii="Times New Roman" w:hAnsi="Times New Roman" w:cs="Times New Roman"/>
          <w:noProof/>
          <w:color w:val="auto"/>
          <w:sz w:val="24"/>
          <w:szCs w:val="24"/>
        </w:rPr>
        <w:drawing>
          <wp:inline distT="0" distB="0" distL="0" distR="0" wp14:anchorId="65D86BFE" wp14:editId="3AB3E24A">
            <wp:extent cx="1981200" cy="1473200"/>
            <wp:effectExtent l="0" t="0" r="0" b="0"/>
            <wp:docPr id="3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81200" cy="1473200"/>
                    </a:xfrm>
                    <a:prstGeom prst="rect">
                      <a:avLst/>
                    </a:prstGeom>
                    <a:noFill/>
                    <a:ln>
                      <a:noFill/>
                    </a:ln>
                  </pic:spPr>
                </pic:pic>
              </a:graphicData>
            </a:graphic>
          </wp:inline>
        </w:drawing>
      </w:r>
    </w:p>
    <w:p w14:paraId="28029350" w14:textId="77777777" w:rsidR="008650C0" w:rsidRPr="003355B8" w:rsidRDefault="008650C0" w:rsidP="008650C0">
      <w:pPr>
        <w:tabs>
          <w:tab w:val="left" w:pos="1540"/>
          <w:tab w:val="left" w:pos="1690"/>
          <w:tab w:val="center" w:pos="4680"/>
          <w:tab w:val="left" w:pos="7726"/>
        </w:tabs>
        <w:spacing w:after="120" w:line="240" w:lineRule="auto"/>
        <w:ind w:left="360" w:right="360"/>
        <w:jc w:val="both"/>
        <w:rPr>
          <w:rFonts w:ascii="Arial" w:hAnsi="Arial" w:cs="Times New Roman"/>
          <w:color w:val="auto"/>
          <w:sz w:val="20"/>
          <w:szCs w:val="20"/>
        </w:rPr>
      </w:pPr>
      <w:r w:rsidRPr="003355B8">
        <w:rPr>
          <w:rFonts w:ascii="Arial" w:hAnsi="Arial" w:cs="Times New Roman"/>
          <w:b/>
          <w:bCs/>
          <w:color w:val="auto"/>
          <w:sz w:val="20"/>
          <w:szCs w:val="20"/>
        </w:rPr>
        <w:tab/>
      </w:r>
      <w:r w:rsidRPr="003355B8">
        <w:rPr>
          <w:rFonts w:ascii="Arial" w:hAnsi="Arial" w:cs="Times New Roman"/>
          <w:color w:val="auto"/>
          <w:sz w:val="20"/>
          <w:szCs w:val="20"/>
        </w:rPr>
        <w:tab/>
      </w:r>
    </w:p>
    <w:p w14:paraId="05DA33CA" w14:textId="77777777" w:rsidR="008650C0" w:rsidRPr="003355B8" w:rsidRDefault="008650C0" w:rsidP="008650C0">
      <w:pPr>
        <w:spacing w:after="120" w:line="240" w:lineRule="auto"/>
        <w:ind w:left="360" w:right="360"/>
        <w:jc w:val="both"/>
        <w:rPr>
          <w:rFonts w:ascii="Arial" w:hAnsi="Arial" w:cs="Times New Roman"/>
          <w:b/>
          <w:bCs/>
          <w:color w:val="auto"/>
          <w:sz w:val="20"/>
          <w:szCs w:val="20"/>
        </w:rPr>
      </w:pPr>
    </w:p>
    <w:p w14:paraId="1F018A0D" w14:textId="4F083290" w:rsidR="008650C0" w:rsidRPr="003355B8" w:rsidRDefault="008650C0" w:rsidP="00352D52">
      <w:pPr>
        <w:spacing w:after="120" w:line="240" w:lineRule="auto"/>
        <w:ind w:left="360" w:right="360"/>
        <w:jc w:val="both"/>
        <w:rPr>
          <w:rFonts w:ascii="Times" w:hAnsi="Times" w:cs="Times New Roman"/>
          <w:color w:val="auto"/>
          <w:sz w:val="18"/>
          <w:szCs w:val="18"/>
        </w:rPr>
      </w:pPr>
      <w:bookmarkStart w:id="16" w:name="_Hlk510713734"/>
      <w:r w:rsidRPr="003355B8">
        <w:rPr>
          <w:rFonts w:ascii="Times New Roman" w:hAnsi="Times New Roman" w:cs="Times New Roman"/>
          <w:b/>
          <w:bCs/>
          <w:color w:val="auto"/>
          <w:sz w:val="18"/>
          <w:szCs w:val="18"/>
        </w:rPr>
        <w:t>Figure 1:</w:t>
      </w:r>
      <w:r w:rsidRPr="003355B8">
        <w:rPr>
          <w:rFonts w:ascii="Times New Roman" w:hAnsi="Times New Roman" w:cs="Times New Roman"/>
          <w:b/>
          <w:color w:val="auto"/>
          <w:sz w:val="18"/>
          <w:szCs w:val="18"/>
        </w:rPr>
        <w:t xml:space="preserve"> Resilience metrics for a specific </w:t>
      </w:r>
      <w:r w:rsidR="00BE3045" w:rsidRPr="003355B8">
        <w:rPr>
          <w:rFonts w:ascii="Times New Roman" w:hAnsi="Times New Roman" w:cs="Times New Roman"/>
          <w:b/>
          <w:color w:val="auto"/>
          <w:sz w:val="18"/>
          <w:szCs w:val="18"/>
        </w:rPr>
        <w:t xml:space="preserve">setting </w:t>
      </w:r>
      <w:r w:rsidRPr="003355B8">
        <w:rPr>
          <w:rFonts w:ascii="Times New Roman" w:hAnsi="Times New Roman" w:cs="Times New Roman"/>
          <w:b/>
          <w:color w:val="auto"/>
          <w:sz w:val="18"/>
          <w:szCs w:val="18"/>
        </w:rPr>
        <w:t xml:space="preserve">(a </w:t>
      </w:r>
      <m:oMath>
        <m:r>
          <m:rPr>
            <m:sty m:val="bi"/>
          </m:rPr>
          <w:rPr>
            <w:rFonts w:ascii="Cambria Math" w:hAnsi="Cambria Math" w:cs="Times New Roman"/>
            <w:color w:val="auto"/>
            <w:sz w:val="18"/>
            <w:szCs w:val="18"/>
          </w:rPr>
          <m:t>g</m:t>
        </m:r>
      </m:oMath>
      <w:r w:rsidRPr="003355B8">
        <w:rPr>
          <w:rFonts w:ascii="Times New Roman" w:hAnsi="Times New Roman" w:cs="Times New Roman"/>
          <w:b/>
          <w:color w:val="auto"/>
          <w:sz w:val="18"/>
          <w:szCs w:val="18"/>
        </w:rPr>
        <w:t>-</w:t>
      </w:r>
      <m:oMath>
        <m:r>
          <m:rPr>
            <m:sty m:val="bi"/>
          </m:rPr>
          <w:rPr>
            <w:rFonts w:ascii="Cambria Math" w:hAnsi="Cambria Math" w:cs="Times New Roman"/>
            <w:color w:val="auto"/>
            <w:sz w:val="18"/>
            <w:szCs w:val="18"/>
          </w:rPr>
          <m:t>w</m:t>
        </m:r>
      </m:oMath>
      <w:r w:rsidRPr="003355B8">
        <w:rPr>
          <w:rFonts w:ascii="Times New Roman" w:hAnsi="Times New Roman" w:cs="Times New Roman"/>
          <w:b/>
          <w:color w:val="auto"/>
          <w:sz w:val="18"/>
          <w:szCs w:val="18"/>
        </w:rPr>
        <w:t xml:space="preserve"> combination) inside the sustainable region in the policy space (i.e., </w:t>
      </w:r>
      <m:oMath>
        <m:r>
          <m:rPr>
            <m:sty m:val="bi"/>
          </m:rPr>
          <w:rPr>
            <w:rFonts w:ascii="Cambria Math" w:hAnsi="Cambria Math" w:cs="Times New Roman"/>
            <w:color w:val="auto"/>
            <w:sz w:val="18"/>
            <w:szCs w:val="18"/>
          </w:rPr>
          <m:t>C</m:t>
        </m:r>
      </m:oMath>
      <w:r w:rsidRPr="003355B8">
        <w:rPr>
          <w:rFonts w:ascii="Times New Roman" w:hAnsi="Times New Roman" w:cs="Times New Roman"/>
          <w:b/>
          <w:color w:val="auto"/>
          <w:sz w:val="18"/>
          <w:szCs w:val="18"/>
        </w:rPr>
        <w:t>-</w:t>
      </w:r>
      <m:oMath>
        <m:r>
          <m:rPr>
            <m:sty m:val="bi"/>
          </m:rPr>
          <w:rPr>
            <w:rFonts w:ascii="Cambria Math" w:hAnsi="Cambria Math" w:cs="Times New Roman"/>
            <w:color w:val="auto"/>
            <w:sz w:val="18"/>
            <w:szCs w:val="18"/>
          </w:rPr>
          <m:t>y</m:t>
        </m:r>
      </m:oMath>
      <w:r w:rsidRPr="003355B8">
        <w:rPr>
          <w:rFonts w:ascii="Times New Roman" w:hAnsi="Times New Roman" w:cs="Times New Roman"/>
          <w:b/>
          <w:color w:val="auto"/>
          <w:sz w:val="18"/>
          <w:szCs w:val="18"/>
        </w:rPr>
        <w:t xml:space="preserve"> plane): (a) </w:t>
      </w:r>
      <m:oMath>
        <m:sSub>
          <m:sSubPr>
            <m:ctrlPr>
              <w:rPr>
                <w:rFonts w:ascii="Cambria Math" w:hAnsi="Cambria Math" w:cs="Times New Roman"/>
                <w:b/>
                <w:color w:val="auto"/>
                <w:sz w:val="18"/>
                <w:szCs w:val="18"/>
              </w:rPr>
            </m:ctrlPr>
          </m:sSubPr>
          <m:e>
            <m:r>
              <m:rPr>
                <m:sty m:val="bi"/>
              </m:rPr>
              <w:rPr>
                <w:rFonts w:ascii="Cambria Math" w:hAnsi="Cambria Math" w:cs="Times New Roman"/>
                <w:color w:val="auto"/>
                <w:sz w:val="18"/>
                <w:szCs w:val="18"/>
              </w:rPr>
              <m:t>R</m:t>
            </m:r>
          </m:e>
          <m:sub>
            <m:r>
              <m:rPr>
                <m:sty m:val="bi"/>
              </m:rPr>
              <w:rPr>
                <w:rFonts w:ascii="Cambria Math" w:hAnsi="Cambria Math" w:cs="Times New Roman"/>
                <w:color w:val="auto"/>
                <w:sz w:val="18"/>
                <w:szCs w:val="18"/>
              </w:rPr>
              <m:t>PPC</m:t>
            </m:r>
          </m:sub>
        </m:sSub>
      </m:oMath>
      <w:r w:rsidRPr="003355B8">
        <w:rPr>
          <w:rFonts w:ascii="Times New Roman" w:hAnsi="Times New Roman" w:cs="Times New Roman"/>
          <w:b/>
          <w:color w:val="auto"/>
          <w:sz w:val="18"/>
          <w:szCs w:val="18"/>
        </w:rPr>
        <w:t xml:space="preserve"> contours; (b) </w:t>
      </w:r>
      <m:oMath>
        <m:sSub>
          <m:sSubPr>
            <m:ctrlPr>
              <w:rPr>
                <w:rFonts w:ascii="Cambria Math" w:hAnsi="Cambria Math" w:cs="Times New Roman"/>
                <w:b/>
                <w:color w:val="auto"/>
                <w:sz w:val="18"/>
                <w:szCs w:val="18"/>
              </w:rPr>
            </m:ctrlPr>
          </m:sSubPr>
          <m:e>
            <m:r>
              <m:rPr>
                <m:sty m:val="bi"/>
              </m:rPr>
              <w:rPr>
                <w:rFonts w:ascii="Cambria Math" w:hAnsi="Cambria Math" w:cs="Times New Roman"/>
                <w:color w:val="auto"/>
                <w:sz w:val="18"/>
                <w:szCs w:val="18"/>
              </w:rPr>
              <m:t>R</m:t>
            </m:r>
          </m:e>
          <m:sub>
            <m:r>
              <m:rPr>
                <m:sty m:val="bi"/>
              </m:rPr>
              <w:rPr>
                <w:rFonts w:ascii="Cambria Math" w:hAnsi="Cambria Math" w:cs="Times New Roman"/>
                <w:color w:val="auto"/>
                <w:sz w:val="18"/>
                <w:szCs w:val="18"/>
              </w:rPr>
              <m:t>Stability</m:t>
            </m:r>
          </m:sub>
        </m:sSub>
      </m:oMath>
      <w:r w:rsidRPr="003355B8">
        <w:rPr>
          <w:rFonts w:ascii="Times New Roman" w:hAnsi="Times New Roman" w:cs="Times New Roman"/>
          <w:b/>
          <w:color w:val="auto"/>
          <w:sz w:val="18"/>
          <w:szCs w:val="18"/>
        </w:rPr>
        <w:t xml:space="preserve"> contours; and (c) </w:t>
      </w:r>
      <m:oMath>
        <m:sSub>
          <m:sSubPr>
            <m:ctrlPr>
              <w:rPr>
                <w:rFonts w:ascii="Cambria Math" w:hAnsi="Cambria Math" w:cs="Times New Roman"/>
                <w:b/>
                <w:color w:val="auto"/>
                <w:sz w:val="18"/>
                <w:szCs w:val="18"/>
              </w:rPr>
            </m:ctrlPr>
          </m:sSubPr>
          <m:e>
            <m:r>
              <m:rPr>
                <m:sty m:val="bi"/>
              </m:rPr>
              <w:rPr>
                <w:rFonts w:ascii="Cambria Math" w:hAnsi="Cambria Math" w:cs="Times New Roman"/>
                <w:color w:val="auto"/>
                <w:sz w:val="18"/>
                <w:szCs w:val="18"/>
              </w:rPr>
              <m:t>R</m:t>
            </m:r>
          </m:e>
          <m:sub>
            <m:r>
              <m:rPr>
                <m:sty m:val="bi"/>
              </m:rPr>
              <w:rPr>
                <w:rFonts w:ascii="Cambria Math" w:hAnsi="Cambria Math" w:cs="Times New Roman"/>
                <w:color w:val="auto"/>
                <w:sz w:val="18"/>
                <w:szCs w:val="18"/>
              </w:rPr>
              <m:t>system</m:t>
            </m:r>
          </m:sub>
        </m:sSub>
      </m:oMath>
      <w:r w:rsidRPr="003355B8">
        <w:rPr>
          <w:rFonts w:ascii="Times New Roman" w:hAnsi="Times New Roman" w:cs="Times New Roman"/>
          <w:b/>
          <w:color w:val="auto"/>
          <w:sz w:val="18"/>
          <w:szCs w:val="18"/>
        </w:rPr>
        <w:t xml:space="preserve"> contours.</w:t>
      </w:r>
      <w:r w:rsidR="005B7F0D" w:rsidRPr="003355B8">
        <w:rPr>
          <w:rFonts w:ascii="Times New Roman" w:hAnsi="Times New Roman" w:cs="Times New Roman"/>
          <w:b/>
          <w:color w:val="auto"/>
          <w:sz w:val="18"/>
          <w:szCs w:val="18"/>
        </w:rPr>
        <w:t xml:space="preserve"> </w:t>
      </w:r>
      <w:r w:rsidR="00187500" w:rsidRPr="003355B8">
        <w:rPr>
          <w:rFonts w:ascii="Times New Roman" w:hAnsi="Times New Roman" w:cs="Times New Roman"/>
          <w:b/>
          <w:color w:val="auto"/>
          <w:sz w:val="18"/>
          <w:szCs w:val="18"/>
        </w:rPr>
        <w:t xml:space="preserve"> </w:t>
      </w:r>
      <w:r w:rsidR="00426581" w:rsidRPr="003355B8">
        <w:rPr>
          <w:rFonts w:ascii="Times" w:hAnsi="Times" w:cs="Times New Roman"/>
          <w:color w:val="auto"/>
          <w:sz w:val="18"/>
          <w:szCs w:val="18"/>
        </w:rPr>
        <w:t xml:space="preserve">The black star in panels (a), (b), and (c) indicate the policy with the highest </w:t>
      </w:r>
      <m:oMath>
        <m:sSub>
          <m:sSubPr>
            <m:ctrlPr>
              <w:rPr>
                <w:rFonts w:ascii="Cambria Math" w:hAnsi="Cambria Math" w:cs="Times New Roman"/>
                <w:color w:val="auto"/>
                <w:sz w:val="18"/>
                <w:szCs w:val="18"/>
              </w:rPr>
            </m:ctrlPr>
          </m:sSubPr>
          <m:e>
            <m:r>
              <m:rPr>
                <m:sty m:val="bi"/>
              </m:rPr>
              <w:rPr>
                <w:rFonts w:ascii="Cambria Math" w:hAnsi="Cambria Math" w:cs="Times New Roman"/>
                <w:color w:val="auto"/>
                <w:sz w:val="18"/>
                <w:szCs w:val="18"/>
              </w:rPr>
              <m:t>R</m:t>
            </m:r>
          </m:e>
          <m:sub>
            <m:r>
              <m:rPr>
                <m:sty m:val="bi"/>
              </m:rPr>
              <w:rPr>
                <w:rFonts w:ascii="Cambria Math" w:hAnsi="Cambria Math" w:cs="Times New Roman"/>
                <w:color w:val="auto"/>
                <w:sz w:val="18"/>
                <w:szCs w:val="18"/>
              </w:rPr>
              <m:t>PPC</m:t>
            </m:r>
          </m:sub>
        </m:sSub>
      </m:oMath>
      <w:r w:rsidR="00426581" w:rsidRPr="003355B8">
        <w:rPr>
          <w:rFonts w:ascii="Times" w:hAnsi="Times" w:cs="Times New Roman"/>
          <w:color w:val="auto"/>
          <w:sz w:val="18"/>
          <w:szCs w:val="18"/>
        </w:rPr>
        <w:t xml:space="preserve">, </w:t>
      </w:r>
      <m:oMath>
        <m:sSub>
          <m:sSubPr>
            <m:ctrlPr>
              <w:rPr>
                <w:rFonts w:ascii="Cambria Math" w:hAnsi="Cambria Math" w:cs="Times New Roman"/>
                <w:color w:val="auto"/>
                <w:sz w:val="18"/>
                <w:szCs w:val="18"/>
              </w:rPr>
            </m:ctrlPr>
          </m:sSubPr>
          <m:e>
            <m:r>
              <m:rPr>
                <m:sty m:val="bi"/>
              </m:rPr>
              <w:rPr>
                <w:rFonts w:ascii="Cambria Math" w:hAnsi="Cambria Math" w:cs="Times New Roman"/>
                <w:color w:val="auto"/>
                <w:sz w:val="18"/>
                <w:szCs w:val="18"/>
              </w:rPr>
              <m:t>R</m:t>
            </m:r>
          </m:e>
          <m:sub>
            <m:r>
              <m:rPr>
                <m:sty m:val="bi"/>
              </m:rPr>
              <w:rPr>
                <w:rFonts w:ascii="Cambria Math" w:hAnsi="Cambria Math" w:cs="Times New Roman"/>
                <w:color w:val="auto"/>
                <w:sz w:val="18"/>
                <w:szCs w:val="18"/>
              </w:rPr>
              <m:t>Stability</m:t>
            </m:r>
          </m:sub>
        </m:sSub>
      </m:oMath>
      <w:r w:rsidR="00426581" w:rsidRPr="003355B8">
        <w:rPr>
          <w:rFonts w:ascii="Times" w:hAnsi="Times" w:cs="Times New Roman"/>
          <w:color w:val="auto"/>
          <w:sz w:val="18"/>
          <w:szCs w:val="18"/>
        </w:rPr>
        <w:t xml:space="preserve">, and </w:t>
      </w:r>
      <m:oMath>
        <m:sSub>
          <m:sSubPr>
            <m:ctrlPr>
              <w:rPr>
                <w:rFonts w:ascii="Cambria Math" w:hAnsi="Cambria Math" w:cs="Times New Roman"/>
                <w:color w:val="auto"/>
                <w:sz w:val="18"/>
                <w:szCs w:val="18"/>
              </w:rPr>
            </m:ctrlPr>
          </m:sSubPr>
          <m:e>
            <m:r>
              <m:rPr>
                <m:sty m:val="bi"/>
              </m:rPr>
              <w:rPr>
                <w:rFonts w:ascii="Cambria Math" w:hAnsi="Cambria Math" w:cs="Times New Roman"/>
                <w:color w:val="auto"/>
                <w:sz w:val="18"/>
                <w:szCs w:val="18"/>
              </w:rPr>
              <m:t>R</m:t>
            </m:r>
          </m:e>
          <m:sub>
            <m:r>
              <m:rPr>
                <m:sty m:val="bi"/>
              </m:rPr>
              <w:rPr>
                <w:rFonts w:ascii="Cambria Math" w:hAnsi="Cambria Math" w:cs="Times New Roman"/>
                <w:color w:val="auto"/>
                <w:sz w:val="18"/>
                <w:szCs w:val="18"/>
              </w:rPr>
              <m:t>system</m:t>
            </m:r>
          </m:sub>
        </m:sSub>
      </m:oMath>
      <w:r w:rsidR="00426581" w:rsidRPr="003355B8">
        <w:rPr>
          <w:rFonts w:ascii="Times" w:hAnsi="Times" w:cs="Times New Roman"/>
          <w:color w:val="auto"/>
          <w:sz w:val="18"/>
          <w:szCs w:val="18"/>
        </w:rPr>
        <w:t>, respectively.</w:t>
      </w:r>
    </w:p>
    <w:p w14:paraId="033A772C" w14:textId="77777777" w:rsidR="00A7229B" w:rsidRPr="003355B8" w:rsidRDefault="00A7229B" w:rsidP="00352D52">
      <w:pPr>
        <w:spacing w:after="120" w:line="240" w:lineRule="auto"/>
        <w:ind w:left="360" w:right="360"/>
        <w:jc w:val="both"/>
        <w:rPr>
          <w:rFonts w:ascii="Times New Roman" w:hAnsi="Times New Roman" w:cs="Times New Roman"/>
          <w:b/>
          <w:color w:val="auto"/>
          <w:sz w:val="18"/>
          <w:szCs w:val="18"/>
        </w:rPr>
      </w:pPr>
    </w:p>
    <w:bookmarkEnd w:id="16"/>
    <w:p w14:paraId="0B7BBCFC" w14:textId="5BD52C51" w:rsidR="00C137F1" w:rsidRPr="003355B8" w:rsidRDefault="009507E5" w:rsidP="00C137F1">
      <w:pPr>
        <w:spacing w:after="120" w:line="240" w:lineRule="auto"/>
        <w:rPr>
          <w:rFonts w:ascii="Times New Roman" w:hAnsi="Times New Roman" w:cs="Times New Roman"/>
          <w:color w:val="auto"/>
          <w:sz w:val="24"/>
          <w:szCs w:val="24"/>
        </w:rPr>
      </w:pPr>
      <w:r w:rsidRPr="003355B8">
        <w:rPr>
          <w:rFonts w:ascii="Times New Roman" w:hAnsi="Times New Roman" w:cs="Times New Roman"/>
          <w:noProof/>
          <w:color w:val="auto"/>
          <w:sz w:val="24"/>
          <w:szCs w:val="24"/>
        </w:rPr>
        <w:drawing>
          <wp:inline distT="0" distB="0" distL="0" distR="0" wp14:anchorId="48F78F26" wp14:editId="40DCB784">
            <wp:extent cx="3098127" cy="2323595"/>
            <wp:effectExtent l="0" t="0" r="762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res-surface.png"/>
                    <pic:cNvPicPr/>
                  </pic:nvPicPr>
                  <pic:blipFill>
                    <a:blip r:embed="rId13"/>
                    <a:stretch>
                      <a:fillRect/>
                    </a:stretch>
                  </pic:blipFill>
                  <pic:spPr>
                    <a:xfrm>
                      <a:off x="0" y="0"/>
                      <a:ext cx="3098127" cy="2323595"/>
                    </a:xfrm>
                    <a:prstGeom prst="rect">
                      <a:avLst/>
                    </a:prstGeom>
                  </pic:spPr>
                </pic:pic>
              </a:graphicData>
            </a:graphic>
          </wp:inline>
        </w:drawing>
      </w:r>
      <w:r w:rsidR="00C428B8" w:rsidRPr="003355B8">
        <w:rPr>
          <w:rFonts w:ascii="Times New Roman" w:hAnsi="Times New Roman" w:cs="Times New Roman"/>
          <w:noProof/>
          <w:color w:val="auto"/>
          <w:sz w:val="24"/>
          <w:szCs w:val="24"/>
        </w:rPr>
        <w:drawing>
          <wp:inline distT="0" distB="0" distL="0" distR="0" wp14:anchorId="2243212D" wp14:editId="7791D246">
            <wp:extent cx="2829464" cy="225692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es contour.png"/>
                    <pic:cNvPicPr/>
                  </pic:nvPicPr>
                  <pic:blipFill>
                    <a:blip r:embed="rId14"/>
                    <a:stretch>
                      <a:fillRect/>
                    </a:stretch>
                  </pic:blipFill>
                  <pic:spPr>
                    <a:xfrm>
                      <a:off x="0" y="0"/>
                      <a:ext cx="2846035" cy="2270138"/>
                    </a:xfrm>
                    <a:prstGeom prst="rect">
                      <a:avLst/>
                    </a:prstGeom>
                  </pic:spPr>
                </pic:pic>
              </a:graphicData>
            </a:graphic>
          </wp:inline>
        </w:drawing>
      </w:r>
    </w:p>
    <w:p w14:paraId="250DD95A" w14:textId="77777777" w:rsidR="00C137F1" w:rsidRPr="003355B8" w:rsidRDefault="00C137F1" w:rsidP="00C137F1">
      <w:pPr>
        <w:pStyle w:val="ListParagraph"/>
        <w:numPr>
          <w:ilvl w:val="0"/>
          <w:numId w:val="33"/>
        </w:numPr>
        <w:tabs>
          <w:tab w:val="left" w:pos="2605"/>
          <w:tab w:val="left" w:pos="6962"/>
        </w:tabs>
        <w:spacing w:after="120" w:line="240" w:lineRule="auto"/>
        <w:rPr>
          <w:rFonts w:ascii="Arial" w:hAnsi="Arial" w:cs="Times New Roman"/>
          <w:color w:val="auto"/>
          <w:sz w:val="20"/>
          <w:szCs w:val="20"/>
        </w:rPr>
      </w:pPr>
      <w:r w:rsidRPr="003355B8">
        <w:rPr>
          <w:rFonts w:ascii="Arial" w:hAnsi="Arial" w:cs="Times New Roman"/>
          <w:color w:val="auto"/>
          <w:sz w:val="24"/>
          <w:szCs w:val="24"/>
        </w:rPr>
        <w:tab/>
      </w:r>
      <w:r w:rsidRPr="003355B8">
        <w:rPr>
          <w:rFonts w:ascii="Arial" w:hAnsi="Arial" w:cs="Times New Roman"/>
          <w:color w:val="auto"/>
          <w:sz w:val="20"/>
          <w:szCs w:val="20"/>
        </w:rPr>
        <w:t>(b)</w:t>
      </w:r>
    </w:p>
    <w:p w14:paraId="58AE3269" w14:textId="46123C46" w:rsidR="00CA5E75" w:rsidRPr="003355B8" w:rsidRDefault="00CA5E75" w:rsidP="00CA5E75">
      <w:pPr>
        <w:spacing w:after="120" w:line="240" w:lineRule="auto"/>
        <w:ind w:left="360" w:right="360"/>
        <w:jc w:val="both"/>
        <w:rPr>
          <w:rFonts w:ascii="Arial" w:hAnsi="Arial" w:cs="Times New Roman"/>
          <w:color w:val="auto"/>
          <w:sz w:val="18"/>
          <w:szCs w:val="18"/>
        </w:rPr>
      </w:pPr>
      <w:r w:rsidRPr="003355B8">
        <w:rPr>
          <w:rFonts w:ascii="Times New Roman" w:hAnsi="Times New Roman" w:cs="Times New Roman"/>
          <w:bCs/>
          <w:color w:val="auto"/>
          <w:sz w:val="18"/>
          <w:szCs w:val="18"/>
        </w:rPr>
        <w:t>Figure 2:</w:t>
      </w:r>
      <w:r w:rsidRPr="003355B8">
        <w:rPr>
          <w:rFonts w:ascii="Times New Roman" w:hAnsi="Times New Roman" w:cs="Times New Roman"/>
          <w:color w:val="auto"/>
          <w:sz w:val="18"/>
          <w:szCs w:val="18"/>
        </w:rPr>
        <w:t xml:space="preserve"> Variation of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of a CIS with a fixed policy </w:t>
      </w:r>
      <m:oMath>
        <m:r>
          <w:rPr>
            <w:rFonts w:ascii="Cambria Math" w:hAnsi="Cambria Math" w:cs="Times New Roman"/>
            <w:color w:val="auto"/>
            <w:sz w:val="18"/>
            <w:szCs w:val="18"/>
          </w:rPr>
          <m:t>(C,y)</m:t>
        </m:r>
      </m:oMath>
      <w:r w:rsidRPr="003355B8">
        <w:rPr>
          <w:rFonts w:ascii="Times New Roman" w:hAnsi="Times New Roman" w:cs="Times New Roman"/>
          <w:color w:val="auto"/>
          <w:sz w:val="18"/>
          <w:szCs w:val="18"/>
        </w:rPr>
        <w:t xml:space="preserve"> over 10,000 </w:t>
      </w:r>
      <w:r w:rsidR="00BE3045" w:rsidRPr="003355B8">
        <w:rPr>
          <w:rFonts w:ascii="Times New Roman" w:hAnsi="Times New Roman" w:cs="Times New Roman"/>
          <w:color w:val="auto"/>
          <w:sz w:val="18"/>
          <w:szCs w:val="18"/>
        </w:rPr>
        <w:t>settings</w:t>
      </w:r>
      <w:r w:rsidRPr="003355B8">
        <w:rPr>
          <w:rFonts w:ascii="Times New Roman" w:hAnsi="Times New Roman" w:cs="Times New Roman"/>
          <w:color w:val="auto"/>
          <w:sz w:val="18"/>
          <w:szCs w:val="18"/>
        </w:rPr>
        <w:t xml:space="preserve"> associated with </w:t>
      </w:r>
      <w:r w:rsidR="00376756" w:rsidRPr="003355B8">
        <w:rPr>
          <w:rFonts w:ascii="Times New Roman" w:hAnsi="Times New Roman" w:cs="Times New Roman"/>
          <w:color w:val="auto"/>
          <w:sz w:val="18"/>
          <w:szCs w:val="18"/>
        </w:rPr>
        <w:t>uncertainty</w:t>
      </w:r>
      <w:r w:rsidRPr="003355B8">
        <w:rPr>
          <w:rFonts w:ascii="Times New Roman" w:hAnsi="Times New Roman" w:cs="Times New Roman"/>
          <w:color w:val="auto"/>
          <w:sz w:val="18"/>
          <w:szCs w:val="18"/>
        </w:rPr>
        <w:t xml:space="preserve"> characterized by </w:t>
      </w:r>
      <m:oMath>
        <m:d>
          <m:dPr>
            <m:begChr m:val="{"/>
            <m:endChr m:val="}"/>
            <m:ctrlPr>
              <w:rPr>
                <w:rFonts w:ascii="Cambria Math" w:hAnsi="Cambria Math" w:cs="Times New Roman"/>
                <w:i/>
                <w:color w:val="auto"/>
                <w:sz w:val="18"/>
                <w:szCs w:val="18"/>
              </w:rPr>
            </m:ctrlPr>
          </m:dPr>
          <m:e>
            <m:r>
              <w:rPr>
                <w:rFonts w:ascii="Cambria Math" w:hAnsi="Cambria Math" w:cs="Times New Roman"/>
                <w:color w:val="auto"/>
                <w:sz w:val="18"/>
                <w:szCs w:val="18"/>
              </w:rPr>
              <m:t>g∈</m:t>
            </m:r>
            <m:d>
              <m:dPr>
                <m:begChr m:val="["/>
                <m:endChr m:val="]"/>
                <m:ctrlPr>
                  <w:rPr>
                    <w:rFonts w:ascii="Cambria Math" w:hAnsi="Cambria Math" w:cs="Times New Roman"/>
                    <w:i/>
                    <w:color w:val="auto"/>
                    <w:sz w:val="18"/>
                    <w:szCs w:val="18"/>
                  </w:rPr>
                </m:ctrlPr>
              </m:dPr>
              <m:e>
                <m:r>
                  <w:rPr>
                    <w:rFonts w:ascii="Cambria Math" w:hAnsi="Cambria Math" w:cs="Times New Roman"/>
                    <w:color w:val="auto"/>
                    <w:sz w:val="18"/>
                    <w:szCs w:val="18"/>
                  </w:rPr>
                  <m:t>75,125</m:t>
                </m:r>
              </m:e>
            </m:d>
            <m:r>
              <w:rPr>
                <w:rFonts w:ascii="Cambria Math" w:hAnsi="Cambria Math" w:cs="Times New Roman"/>
                <w:color w:val="auto"/>
                <w:sz w:val="18"/>
                <w:szCs w:val="18"/>
              </w:rPr>
              <m:t>,w∈</m:t>
            </m:r>
            <m:d>
              <m:dPr>
                <m:begChr m:val="["/>
                <m:endChr m:val="]"/>
                <m:ctrlPr>
                  <w:rPr>
                    <w:rFonts w:ascii="Cambria Math" w:hAnsi="Cambria Math" w:cs="Times New Roman"/>
                    <w:i/>
                    <w:color w:val="auto"/>
                    <w:sz w:val="18"/>
                    <w:szCs w:val="18"/>
                  </w:rPr>
                </m:ctrlPr>
              </m:dPr>
              <m:e>
                <m:r>
                  <w:rPr>
                    <w:rFonts w:ascii="Cambria Math" w:hAnsi="Cambria Math" w:cs="Times New Roman"/>
                    <w:color w:val="auto"/>
                    <w:sz w:val="18"/>
                    <w:szCs w:val="18"/>
                  </w:rPr>
                  <m:t>0.75,1.25</m:t>
                </m:r>
              </m:e>
            </m:d>
          </m:e>
        </m:d>
      </m:oMath>
      <w:r w:rsidRPr="003355B8">
        <w:rPr>
          <w:rFonts w:ascii="Times New Roman" w:hAnsi="Times New Roman" w:cs="Times New Roman"/>
          <w:color w:val="auto"/>
          <w:sz w:val="18"/>
          <w:szCs w:val="18"/>
        </w:rPr>
        <w:t xml:space="preserve">: (a)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surface and (b)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contours.  The values of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are used to calculate the mean,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Rsystem</m:t>
            </m:r>
          </m:sub>
        </m:sSub>
      </m:oMath>
      <w:r w:rsidRPr="003355B8">
        <w:rPr>
          <w:rFonts w:ascii="Times New Roman" w:hAnsi="Times New Roman" w:cs="Times New Roman"/>
          <w:color w:val="auto"/>
          <w:sz w:val="18"/>
          <w:szCs w:val="18"/>
        </w:rPr>
        <w:t xml:space="preserve">, and the below-mean mean,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18"/>
          <w:szCs w:val="18"/>
        </w:rPr>
        <w:t xml:space="preserve">. In this </w:t>
      </w:r>
      <w:proofErr w:type="gramStart"/>
      <w:r w:rsidRPr="003355B8">
        <w:rPr>
          <w:rFonts w:ascii="Times New Roman" w:hAnsi="Times New Roman" w:cs="Times New Roman"/>
          <w:color w:val="auto"/>
          <w:sz w:val="18"/>
          <w:szCs w:val="18"/>
        </w:rPr>
        <w:t>particular case</w:t>
      </w:r>
      <w:proofErr w:type="gramEnd"/>
      <w:r w:rsidRPr="003355B8">
        <w:rPr>
          <w:rFonts w:ascii="Times New Roman" w:hAnsi="Times New Roman" w:cs="Times New Roman"/>
          <w:color w:val="auto"/>
          <w:sz w:val="18"/>
          <w:szCs w:val="18"/>
        </w:rPr>
        <w:t xml:space="preserve">, the resilience does not change much when </w:t>
      </w:r>
      <m:oMath>
        <m:r>
          <w:rPr>
            <w:rFonts w:ascii="Cambria Math" w:hAnsi="Cambria Math" w:cs="Times New Roman"/>
            <w:color w:val="auto"/>
            <w:sz w:val="18"/>
            <w:szCs w:val="18"/>
          </w:rPr>
          <m:t>g</m:t>
        </m:r>
      </m:oMath>
      <w:r w:rsidRPr="003355B8">
        <w:rPr>
          <w:rFonts w:ascii="Times New Roman" w:hAnsi="Times New Roman" w:cs="Times New Roman"/>
          <w:color w:val="auto"/>
          <w:sz w:val="18"/>
          <w:szCs w:val="18"/>
        </w:rPr>
        <w:t xml:space="preserve"> is greater than about </w:t>
      </w:r>
      <w:r w:rsidR="00C611EE" w:rsidRPr="003355B8">
        <w:rPr>
          <w:rFonts w:ascii="Times New Roman" w:hAnsi="Times New Roman" w:cs="Times New Roman"/>
          <w:color w:val="auto"/>
          <w:sz w:val="18"/>
          <w:szCs w:val="18"/>
        </w:rPr>
        <w:t>100 but</w:t>
      </w:r>
      <w:r w:rsidRPr="003355B8">
        <w:rPr>
          <w:rFonts w:ascii="Times New Roman" w:hAnsi="Times New Roman" w:cs="Times New Roman"/>
          <w:color w:val="auto"/>
          <w:sz w:val="18"/>
          <w:szCs w:val="18"/>
        </w:rPr>
        <w:t xml:space="preserve"> becomes more sensitive to both </w:t>
      </w:r>
      <m:oMath>
        <m:r>
          <w:rPr>
            <w:rFonts w:ascii="Cambria Math" w:hAnsi="Cambria Math" w:cs="Times New Roman"/>
            <w:color w:val="auto"/>
            <w:sz w:val="18"/>
            <w:szCs w:val="18"/>
          </w:rPr>
          <m:t>g</m:t>
        </m:r>
      </m:oMath>
      <w:r w:rsidRPr="003355B8">
        <w:rPr>
          <w:rFonts w:ascii="Times New Roman" w:hAnsi="Times New Roman" w:cs="Times New Roman"/>
          <w:color w:val="auto"/>
          <w:sz w:val="18"/>
          <w:szCs w:val="18"/>
        </w:rPr>
        <w:t xml:space="preserve"> and </w:t>
      </w:r>
      <m:oMath>
        <m:r>
          <w:rPr>
            <w:rFonts w:ascii="Cambria Math" w:hAnsi="Cambria Math" w:cs="Times New Roman"/>
            <w:color w:val="auto"/>
            <w:sz w:val="18"/>
            <w:szCs w:val="18"/>
          </w:rPr>
          <m:t>w</m:t>
        </m:r>
      </m:oMath>
      <w:r w:rsidRPr="003355B8">
        <w:rPr>
          <w:rFonts w:ascii="Times New Roman" w:hAnsi="Times New Roman" w:cs="Times New Roman"/>
          <w:color w:val="auto"/>
          <w:sz w:val="18"/>
          <w:szCs w:val="18"/>
        </w:rPr>
        <w:t xml:space="preserve"> when </w:t>
      </w:r>
      <m:oMath>
        <m:r>
          <w:rPr>
            <w:rFonts w:ascii="Cambria Math" w:hAnsi="Cambria Math" w:cs="Times New Roman"/>
            <w:color w:val="auto"/>
            <w:sz w:val="18"/>
            <w:szCs w:val="18"/>
          </w:rPr>
          <m:t>g</m:t>
        </m:r>
      </m:oMath>
      <w:r w:rsidRPr="003355B8">
        <w:rPr>
          <w:rFonts w:ascii="Times New Roman" w:hAnsi="Times New Roman" w:cs="Times New Roman"/>
          <w:color w:val="auto"/>
          <w:sz w:val="18"/>
          <w:szCs w:val="18"/>
        </w:rPr>
        <w:t xml:space="preserve"> is lower than 100</w:t>
      </w:r>
      <w:r w:rsidRPr="003355B8">
        <w:rPr>
          <w:rFonts w:ascii="Arial" w:hAnsi="Arial" w:cs="Times New Roman"/>
          <w:color w:val="auto"/>
          <w:sz w:val="18"/>
          <w:szCs w:val="18"/>
        </w:rPr>
        <w:t>.</w:t>
      </w:r>
    </w:p>
    <w:p w14:paraId="65552DE8" w14:textId="77777777" w:rsidR="00CA5E75" w:rsidRPr="003355B8" w:rsidRDefault="00CA5E75" w:rsidP="00D12974">
      <w:pPr>
        <w:spacing w:after="120" w:line="240" w:lineRule="auto"/>
        <w:ind w:left="360" w:right="360"/>
        <w:jc w:val="both"/>
        <w:rPr>
          <w:rFonts w:ascii="Arial" w:hAnsi="Arial" w:cs="Times New Roman"/>
          <w:b/>
          <w:color w:val="auto"/>
          <w:sz w:val="18"/>
          <w:szCs w:val="18"/>
        </w:rPr>
      </w:pPr>
    </w:p>
    <w:p w14:paraId="3AE6BD2C" w14:textId="77777777" w:rsidR="00C137F1" w:rsidRPr="003355B8" w:rsidRDefault="00C137F1" w:rsidP="00C137F1">
      <w:pPr>
        <w:spacing w:after="120" w:line="240" w:lineRule="auto"/>
        <w:jc w:val="both"/>
        <w:rPr>
          <w:rFonts w:ascii="Times New Roman" w:hAnsi="Times New Roman" w:cs="Times New Roman"/>
          <w:color w:val="auto"/>
          <w:sz w:val="20"/>
          <w:szCs w:val="24"/>
          <w:lang w:val="en-GB" w:eastAsia="de-DE"/>
        </w:rPr>
      </w:pPr>
    </w:p>
    <w:p w14:paraId="40F4053F" w14:textId="3D449DFC" w:rsidR="00C137F1" w:rsidRPr="003355B8" w:rsidRDefault="00C137F1" w:rsidP="00C137F1">
      <w:pPr>
        <w:spacing w:after="120" w:line="240" w:lineRule="auto"/>
        <w:jc w:val="both"/>
        <w:rPr>
          <w:rFonts w:ascii="Times New Roman" w:hAnsi="Times New Roman" w:cs="Times New Roman"/>
          <w:color w:val="auto"/>
          <w:sz w:val="24"/>
          <w:szCs w:val="24"/>
        </w:rPr>
      </w:pPr>
      <w:r w:rsidRPr="003355B8">
        <w:rPr>
          <w:noProof/>
          <w:color w:val="auto"/>
        </w:rPr>
        <w:lastRenderedPageBreak/>
        <mc:AlternateContent>
          <mc:Choice Requires="wpg">
            <w:drawing>
              <wp:anchor distT="0" distB="0" distL="114300" distR="114300" simplePos="0" relativeHeight="251674624" behindDoc="0" locked="0" layoutInCell="1" allowOverlap="1" wp14:anchorId="0CB0E32F" wp14:editId="79083AA4">
                <wp:simplePos x="0" y="0"/>
                <wp:positionH relativeFrom="column">
                  <wp:posOffset>1228090</wp:posOffset>
                </wp:positionH>
                <wp:positionV relativeFrom="paragraph">
                  <wp:posOffset>2446655</wp:posOffset>
                </wp:positionV>
                <wp:extent cx="3267710" cy="278130"/>
                <wp:effectExtent l="0" t="0" r="8890" b="1270"/>
                <wp:wrapNone/>
                <wp:docPr id="35"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267710" cy="278130"/>
                          <a:chOff x="0" y="0"/>
                          <a:chExt cx="3267986" cy="278296"/>
                        </a:xfrm>
                      </wpg:grpSpPr>
                      <wps:wsp>
                        <wps:cNvPr id="36" name="Text Box 10"/>
                        <wps:cNvSpPr txBox="1"/>
                        <wps:spPr>
                          <a:xfrm>
                            <a:off x="0" y="0"/>
                            <a:ext cx="365760" cy="278296"/>
                          </a:xfrm>
                          <a:prstGeom prst="rect">
                            <a:avLst/>
                          </a:prstGeom>
                          <a:solidFill>
                            <a:schemeClr val="lt1"/>
                          </a:solidFill>
                          <a:ln w="6350">
                            <a:noFill/>
                          </a:ln>
                        </wps:spPr>
                        <wps:txbx>
                          <w:txbxContent>
                            <w:p w14:paraId="288F9259" w14:textId="77777777" w:rsidR="00586A79" w:rsidRPr="008C53AB" w:rsidRDefault="00586A79" w:rsidP="00C137F1">
                              <w:pPr>
                                <w:rPr>
                                  <w:sz w:val="20"/>
                                  <w:szCs w:val="20"/>
                                </w:rPr>
                              </w:pPr>
                              <w:r w:rsidRPr="008C53AB">
                                <w:rPr>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Text Box 12"/>
                        <wps:cNvSpPr txBox="1"/>
                        <wps:spPr>
                          <a:xfrm>
                            <a:off x="2902226" y="0"/>
                            <a:ext cx="365760" cy="278296"/>
                          </a:xfrm>
                          <a:prstGeom prst="rect">
                            <a:avLst/>
                          </a:prstGeom>
                          <a:solidFill>
                            <a:schemeClr val="lt1"/>
                          </a:solidFill>
                          <a:ln w="6350">
                            <a:noFill/>
                          </a:ln>
                        </wps:spPr>
                        <wps:txbx>
                          <w:txbxContent>
                            <w:p w14:paraId="26EE3BF9" w14:textId="77777777" w:rsidR="00586A79" w:rsidRPr="008C53AB" w:rsidRDefault="00586A79" w:rsidP="00C137F1">
                              <w:pPr>
                                <w:rPr>
                                  <w:sz w:val="20"/>
                                  <w:szCs w:val="20"/>
                                </w:rPr>
                              </w:pPr>
                              <w:r w:rsidRPr="008C53AB">
                                <w:rPr>
                                  <w:sz w:val="20"/>
                                  <w:szCs w:val="20"/>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CB0E32F" id="Group 9" o:spid="_x0000_s1030" style="position:absolute;left:0;text-align:left;margin-left:96.7pt;margin-top:192.65pt;width:257.3pt;height:21.9pt;z-index:251674624" coordsize="32679,27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">
                <v:shape id="Text Box 10" o:spid="_x0000_s1031" type="#_x0000_t202" style="position:absolute;width:3657;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" fillcolor="white [3201]" stroked="f" strokeweight=".5pt">
                  <v:textbox>
                    <w:txbxContent>
                      <w:p w14:paraId="288F9259" w14:textId="77777777" w:rsidR="00586A79" w:rsidRPr="008C53AB" w:rsidRDefault="00586A79" w:rsidP="00C137F1">
                        <w:pPr>
                          <w:rPr>
                            <w:sz w:val="20"/>
                            <w:szCs w:val="20"/>
                          </w:rPr>
                        </w:pPr>
                        <w:r w:rsidRPr="008C53AB">
                          <w:rPr>
                            <w:sz w:val="20"/>
                            <w:szCs w:val="20"/>
                          </w:rPr>
                          <w:t>(a)</w:t>
                        </w:r>
                      </w:p>
                    </w:txbxContent>
                  </v:textbox>
                </v:shape>
                <v:shape id="Text Box 12" o:spid="_x0000_s1032" type="#_x0000_t202" style="position:absolute;left:29022;width:3657;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" fillcolor="white [3201]" stroked="f" strokeweight=".5pt">
                  <v:textbox>
                    <w:txbxContent>
                      <w:p w14:paraId="26EE3BF9" w14:textId="77777777" w:rsidR="00586A79" w:rsidRPr="008C53AB" w:rsidRDefault="00586A79" w:rsidP="00C137F1">
                        <w:pPr>
                          <w:rPr>
                            <w:sz w:val="20"/>
                            <w:szCs w:val="20"/>
                          </w:rPr>
                        </w:pPr>
                        <w:r w:rsidRPr="008C53AB">
                          <w:rPr>
                            <w:sz w:val="20"/>
                            <w:szCs w:val="20"/>
                          </w:rPr>
                          <w:t>(b)</w:t>
                        </w:r>
                      </w:p>
                    </w:txbxContent>
                  </v:textbox>
                </v:shape>
              </v:group>
            </w:pict>
          </mc:Fallback>
        </mc:AlternateContent>
      </w:r>
      <w:r w:rsidR="00E2541A" w:rsidRPr="003355B8">
        <w:rPr>
          <w:rFonts w:ascii="Times New Roman" w:hAnsi="Times New Roman" w:cs="Times New Roman"/>
          <w:noProof/>
          <w:color w:val="auto"/>
          <w:sz w:val="24"/>
          <w:szCs w:val="24"/>
        </w:rPr>
        <w:drawing>
          <wp:inline distT="0" distB="0" distL="0" distR="0" wp14:anchorId="6AF3F35E" wp14:editId="0A3D8033">
            <wp:extent cx="3123590" cy="2342693"/>
            <wp:effectExtent l="0" t="0" r="635"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esilience Surface.jpg"/>
                    <pic:cNvPicPr/>
                  </pic:nvPicPr>
                  <pic:blipFill>
                    <a:blip r:embed="rId15">
                      <a:extLst>
                        <a:ext uri="{28A0092B-C50C-407E-A947-70E740481C1C}">
                          <a14:useLocalDpi xmlns:a14="http://schemas.microsoft.com/office/drawing/2010/main" val="0"/>
                        </a:ext>
                      </a:extLst>
                    </a:blip>
                    <a:stretch>
                      <a:fillRect/>
                    </a:stretch>
                  </pic:blipFill>
                  <pic:spPr>
                    <a:xfrm>
                      <a:off x="0" y="0"/>
                      <a:ext cx="3162632" cy="2371974"/>
                    </a:xfrm>
                    <a:prstGeom prst="rect">
                      <a:avLst/>
                    </a:prstGeom>
                  </pic:spPr>
                </pic:pic>
              </a:graphicData>
            </a:graphic>
          </wp:inline>
        </w:drawing>
      </w:r>
      <w:r w:rsidR="002F026B" w:rsidRPr="003355B8">
        <w:rPr>
          <w:rFonts w:ascii="Times New Roman" w:hAnsi="Times New Roman" w:cs="Times New Roman"/>
          <w:noProof/>
          <w:color w:val="auto"/>
          <w:sz w:val="24"/>
          <w:szCs w:val="24"/>
        </w:rPr>
        <w:drawing>
          <wp:inline distT="0" distB="0" distL="0" distR="0" wp14:anchorId="43F0990C" wp14:editId="57160122">
            <wp:extent cx="2804160" cy="2103120"/>
            <wp:effectExtent l="0" t="0" r="254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esilience Contour.eps"/>
                    <pic:cNvPicPr/>
                  </pic:nvPicPr>
                  <pic:blipFill>
                    <a:blip r:embed="rId16"/>
                    <a:stretch>
                      <a:fillRect/>
                    </a:stretch>
                  </pic:blipFill>
                  <pic:spPr>
                    <a:xfrm>
                      <a:off x="0" y="0"/>
                      <a:ext cx="2804160" cy="2103120"/>
                    </a:xfrm>
                    <a:prstGeom prst="rect">
                      <a:avLst/>
                    </a:prstGeom>
                  </pic:spPr>
                </pic:pic>
              </a:graphicData>
            </a:graphic>
          </wp:inline>
        </w:drawing>
      </w:r>
    </w:p>
    <w:p w14:paraId="6C7A0791" w14:textId="77777777" w:rsidR="00C137F1" w:rsidRPr="003355B8" w:rsidRDefault="00C137F1" w:rsidP="00C137F1">
      <w:pPr>
        <w:spacing w:after="120" w:line="240" w:lineRule="auto"/>
        <w:jc w:val="both"/>
        <w:rPr>
          <w:rFonts w:ascii="Cambria Math" w:hAnsi="Cambria Math" w:cs="Cambria Math"/>
          <w:color w:val="auto"/>
          <w:sz w:val="24"/>
          <w:szCs w:val="24"/>
        </w:rPr>
      </w:pPr>
    </w:p>
    <w:p w14:paraId="20814308" w14:textId="6372CE35" w:rsidR="00C137F1" w:rsidRPr="003355B8" w:rsidRDefault="00E2541A" w:rsidP="00C137F1">
      <w:pPr>
        <w:spacing w:after="120" w:line="240" w:lineRule="auto"/>
        <w:jc w:val="both"/>
        <w:rPr>
          <w:rFonts w:ascii="Cambria Math" w:hAnsi="Cambria Math" w:cs="Cambria Math"/>
          <w:color w:val="auto"/>
          <w:sz w:val="24"/>
          <w:szCs w:val="24"/>
        </w:rPr>
      </w:pPr>
      <w:r w:rsidRPr="003355B8">
        <w:rPr>
          <w:rFonts w:ascii="Cambria Math" w:hAnsi="Cambria Math" w:cs="Cambria Math"/>
          <w:noProof/>
          <w:color w:val="auto"/>
          <w:sz w:val="24"/>
          <w:szCs w:val="24"/>
        </w:rPr>
        <w:drawing>
          <wp:inline distT="0" distB="0" distL="0" distR="0" wp14:anchorId="519A7A44" wp14:editId="5C697C07">
            <wp:extent cx="3121152" cy="2340864"/>
            <wp:effectExtent l="0" t="0" r="3175"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obustness Surface.jpg"/>
                    <pic:cNvPicPr/>
                  </pic:nvPicPr>
                  <pic:blipFill>
                    <a:blip r:embed="rId17">
                      <a:extLst>
                        <a:ext uri="{28A0092B-C50C-407E-A947-70E740481C1C}">
                          <a14:useLocalDpi xmlns:a14="http://schemas.microsoft.com/office/drawing/2010/main" val="0"/>
                        </a:ext>
                      </a:extLst>
                    </a:blip>
                    <a:stretch>
                      <a:fillRect/>
                    </a:stretch>
                  </pic:blipFill>
                  <pic:spPr>
                    <a:xfrm>
                      <a:off x="0" y="0"/>
                      <a:ext cx="3143790" cy="2357843"/>
                    </a:xfrm>
                    <a:prstGeom prst="rect">
                      <a:avLst/>
                    </a:prstGeom>
                  </pic:spPr>
                </pic:pic>
              </a:graphicData>
            </a:graphic>
          </wp:inline>
        </w:drawing>
      </w:r>
      <w:r w:rsidR="002F026B" w:rsidRPr="003355B8">
        <w:rPr>
          <w:rFonts w:ascii="Cambria Math" w:hAnsi="Cambria Math" w:cs="Cambria Math"/>
          <w:noProof/>
          <w:color w:val="auto"/>
          <w:sz w:val="24"/>
          <w:szCs w:val="24"/>
        </w:rPr>
        <w:drawing>
          <wp:inline distT="0" distB="0" distL="0" distR="0" wp14:anchorId="7751DDBB" wp14:editId="4B81EBEB">
            <wp:extent cx="2804160" cy="2103120"/>
            <wp:effectExtent l="0" t="0" r="254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obustness Contour.eps"/>
                    <pic:cNvPicPr/>
                  </pic:nvPicPr>
                  <pic:blipFill>
                    <a:blip r:embed="rId18"/>
                    <a:stretch>
                      <a:fillRect/>
                    </a:stretch>
                  </pic:blipFill>
                  <pic:spPr>
                    <a:xfrm>
                      <a:off x="0" y="0"/>
                      <a:ext cx="2804160" cy="2103120"/>
                    </a:xfrm>
                    <a:prstGeom prst="rect">
                      <a:avLst/>
                    </a:prstGeom>
                  </pic:spPr>
                </pic:pic>
              </a:graphicData>
            </a:graphic>
          </wp:inline>
        </w:drawing>
      </w:r>
    </w:p>
    <w:p w14:paraId="19F55F67" w14:textId="64FB48B3" w:rsidR="00C137F1" w:rsidRPr="003355B8" w:rsidRDefault="00C137F1" w:rsidP="00C137F1">
      <w:pPr>
        <w:spacing w:after="120" w:line="240" w:lineRule="auto"/>
        <w:jc w:val="both"/>
        <w:rPr>
          <w:rFonts w:ascii="Cambria Math" w:hAnsi="Cambria Math" w:cs="Cambria Math"/>
          <w:color w:val="auto"/>
          <w:sz w:val="24"/>
          <w:szCs w:val="24"/>
        </w:rPr>
      </w:pPr>
      <w:r w:rsidRPr="003355B8">
        <w:rPr>
          <w:noProof/>
          <w:color w:val="auto"/>
        </w:rPr>
        <mc:AlternateContent>
          <mc:Choice Requires="wpg">
            <w:drawing>
              <wp:anchor distT="0" distB="0" distL="114300" distR="114300" simplePos="0" relativeHeight="251673600" behindDoc="0" locked="0" layoutInCell="1" allowOverlap="1" wp14:anchorId="30096283" wp14:editId="731508FD">
                <wp:simplePos x="0" y="0"/>
                <wp:positionH relativeFrom="column">
                  <wp:posOffset>1180465</wp:posOffset>
                </wp:positionH>
                <wp:positionV relativeFrom="paragraph">
                  <wp:posOffset>22225</wp:posOffset>
                </wp:positionV>
                <wp:extent cx="3267710" cy="278130"/>
                <wp:effectExtent l="0" t="0" r="8890" b="1270"/>
                <wp:wrapNone/>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267710" cy="278130"/>
                          <a:chOff x="0" y="0"/>
                          <a:chExt cx="3267986" cy="278296"/>
                        </a:xfrm>
                      </wpg:grpSpPr>
                      <wps:wsp>
                        <wps:cNvPr id="39" name="Text Box 39"/>
                        <wps:cNvSpPr txBox="1"/>
                        <wps:spPr>
                          <a:xfrm>
                            <a:off x="0" y="0"/>
                            <a:ext cx="365760" cy="278296"/>
                          </a:xfrm>
                          <a:prstGeom prst="rect">
                            <a:avLst/>
                          </a:prstGeom>
                          <a:solidFill>
                            <a:schemeClr val="lt1"/>
                          </a:solidFill>
                          <a:ln w="6350">
                            <a:noFill/>
                          </a:ln>
                        </wps:spPr>
                        <wps:txbx>
                          <w:txbxContent>
                            <w:p w14:paraId="1C7F788E" w14:textId="77777777" w:rsidR="00586A79" w:rsidRPr="008C53AB" w:rsidRDefault="00586A79" w:rsidP="00C137F1">
                              <w:pPr>
                                <w:rPr>
                                  <w:sz w:val="20"/>
                                  <w:szCs w:val="20"/>
                                </w:rPr>
                              </w:pPr>
                              <w:r w:rsidRPr="008C53AB">
                                <w:rPr>
                                  <w:sz w:val="20"/>
                                  <w:szCs w:val="20"/>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Text Box 40"/>
                        <wps:cNvSpPr txBox="1"/>
                        <wps:spPr>
                          <a:xfrm>
                            <a:off x="2902226" y="0"/>
                            <a:ext cx="365760" cy="278296"/>
                          </a:xfrm>
                          <a:prstGeom prst="rect">
                            <a:avLst/>
                          </a:prstGeom>
                          <a:solidFill>
                            <a:schemeClr val="lt1"/>
                          </a:solidFill>
                          <a:ln w="6350">
                            <a:noFill/>
                          </a:ln>
                        </wps:spPr>
                        <wps:txbx>
                          <w:txbxContent>
                            <w:p w14:paraId="6140A2CB" w14:textId="77777777" w:rsidR="00586A79" w:rsidRPr="008C53AB" w:rsidRDefault="00586A79" w:rsidP="00C137F1">
                              <w:pPr>
                                <w:rPr>
                                  <w:sz w:val="20"/>
                                  <w:szCs w:val="20"/>
                                </w:rPr>
                              </w:pPr>
                              <w:r w:rsidRPr="008C53AB">
                                <w:rPr>
                                  <w:sz w:val="20"/>
                                  <w:szCs w:val="20"/>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0096283" id="Group 38" o:spid="_x0000_s1033" style="position:absolute;left:0;text-align:left;margin-left:92.95pt;margin-top:1.75pt;width:257.3pt;height:21.9pt;z-index:251673600" coordsize="32679,27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">
                <v:shape id="Text Box 39" o:spid="_x0000_s1034" type="#_x0000_t202" style="position:absolute;width:3657;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" fillcolor="white [3201]" stroked="f" strokeweight=".5pt">
                  <v:textbox>
                    <w:txbxContent>
                      <w:p w14:paraId="1C7F788E" w14:textId="77777777" w:rsidR="00586A79" w:rsidRPr="008C53AB" w:rsidRDefault="00586A79" w:rsidP="00C137F1">
                        <w:pPr>
                          <w:rPr>
                            <w:sz w:val="20"/>
                            <w:szCs w:val="20"/>
                          </w:rPr>
                        </w:pPr>
                        <w:r w:rsidRPr="008C53AB">
                          <w:rPr>
                            <w:sz w:val="20"/>
                            <w:szCs w:val="20"/>
                          </w:rPr>
                          <w:t>(c)</w:t>
                        </w:r>
                      </w:p>
                    </w:txbxContent>
                  </v:textbox>
                </v:shape>
                <v:shape id="Text Box 40" o:spid="_x0000_s1035" type="#_x0000_t202" style="position:absolute;left:29022;width:3657;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" fillcolor="white [3201]" stroked="f" strokeweight=".5pt">
                  <v:textbox>
                    <w:txbxContent>
                      <w:p w14:paraId="6140A2CB" w14:textId="77777777" w:rsidR="00586A79" w:rsidRPr="008C53AB" w:rsidRDefault="00586A79" w:rsidP="00C137F1">
                        <w:pPr>
                          <w:rPr>
                            <w:sz w:val="20"/>
                            <w:szCs w:val="20"/>
                          </w:rPr>
                        </w:pPr>
                        <w:r w:rsidRPr="008C53AB">
                          <w:rPr>
                            <w:sz w:val="20"/>
                            <w:szCs w:val="20"/>
                          </w:rPr>
                          <w:t>(d)</w:t>
                        </w:r>
                      </w:p>
                    </w:txbxContent>
                  </v:textbox>
                </v:shape>
              </v:group>
            </w:pict>
          </mc:Fallback>
        </mc:AlternateContent>
      </w:r>
    </w:p>
    <w:p w14:paraId="59FB880C" w14:textId="2877F735" w:rsidR="008F3724" w:rsidRPr="003355B8" w:rsidRDefault="008F3724" w:rsidP="008F3724">
      <w:pPr>
        <w:spacing w:after="120" w:line="240" w:lineRule="auto"/>
        <w:ind w:left="360" w:right="450"/>
        <w:jc w:val="center"/>
        <w:rPr>
          <w:rFonts w:ascii="Times New Roman" w:hAnsi="Times New Roman" w:cs="Times New Roman"/>
          <w:color w:val="auto"/>
          <w:sz w:val="18"/>
          <w:szCs w:val="18"/>
        </w:rPr>
      </w:pPr>
      <w:r w:rsidRPr="003355B8">
        <w:rPr>
          <w:rFonts w:ascii="Times New Roman" w:hAnsi="Times New Roman" w:cs="Times New Roman"/>
          <w:color w:val="auto"/>
          <w:sz w:val="18"/>
          <w:szCs w:val="18"/>
        </w:rPr>
        <w:t xml:space="preserve">Figure 3: the mean,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and </w:t>
      </w:r>
      <w:r w:rsidR="00A331AA" w:rsidRPr="003355B8">
        <w:rPr>
          <w:rFonts w:ascii="Times New Roman" w:hAnsi="Times New Roman" w:cs="Times New Roman"/>
          <w:color w:val="auto"/>
          <w:sz w:val="18"/>
          <w:szCs w:val="18"/>
        </w:rPr>
        <w:t xml:space="preserve">the below-mean mean of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R</m:t>
            </m:r>
          </m:e>
          <m:sub>
            <m:r>
              <w:rPr>
                <w:rFonts w:ascii="Cambria Math" w:hAnsi="Cambria Math" w:cs="Times New Roman"/>
                <w:color w:val="auto"/>
                <w:sz w:val="18"/>
                <w:szCs w:val="18"/>
              </w:rPr>
              <m:t>system</m:t>
            </m:r>
          </m:sub>
        </m:sSub>
      </m:oMath>
      <w:r w:rsidR="00A331AA" w:rsidRPr="003355B8">
        <w:rPr>
          <w:rFonts w:ascii="Times New Roman" w:hAnsi="Times New Roman" w:cs="Times New Roman"/>
          <w:color w:val="auto"/>
          <w:sz w:val="18"/>
          <w:szCs w:val="18"/>
        </w:rPr>
        <w:t xml:space="preserve">,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00A331AA"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18"/>
          <w:szCs w:val="18"/>
        </w:rPr>
        <w:t xml:space="preserve"> over entire decision space: (a) Surface of the resilience metric,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(b) Contours of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(c) Surface of the robustness, </w:t>
      </w:r>
      <w:r w:rsidR="00FD21A6" w:rsidRPr="003355B8">
        <w:rPr>
          <w:rFonts w:ascii="Times New Roman" w:hAnsi="Times New Roman" w:cs="Times New Roman"/>
          <w:color w:val="auto"/>
          <w:sz w:val="18"/>
          <w:szCs w:val="18"/>
        </w:rPr>
        <w:t xml:space="preserve">the </w:t>
      </w:r>
      <w:r w:rsidRPr="003355B8">
        <w:rPr>
          <w:rFonts w:ascii="Times New Roman" w:hAnsi="Times New Roman" w:cs="Times New Roman"/>
          <w:color w:val="auto"/>
          <w:sz w:val="18"/>
          <w:szCs w:val="18"/>
        </w:rPr>
        <w:t>below-mean mean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18"/>
          <w:szCs w:val="18"/>
        </w:rPr>
        <w:t xml:space="preserve">; (d) Contours of the robustness, </w:t>
      </w:r>
      <w:r w:rsidR="00FD21A6" w:rsidRPr="003355B8">
        <w:rPr>
          <w:rFonts w:ascii="Times New Roman" w:hAnsi="Times New Roman" w:cs="Times New Roman"/>
          <w:color w:val="auto"/>
          <w:sz w:val="18"/>
          <w:szCs w:val="18"/>
        </w:rPr>
        <w:t xml:space="preserve">the </w:t>
      </w:r>
      <w:r w:rsidRPr="003355B8">
        <w:rPr>
          <w:rFonts w:ascii="Times New Roman" w:hAnsi="Times New Roman" w:cs="Times New Roman"/>
          <w:color w:val="auto"/>
          <w:sz w:val="18"/>
          <w:szCs w:val="18"/>
        </w:rPr>
        <w:t>below-mean mean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20"/>
          <w:szCs w:val="24"/>
          <w:lang w:val="en-GB" w:eastAsia="de-DE"/>
        </w:rPr>
        <w:t>)</w:t>
      </w:r>
      <w:r w:rsidRPr="003355B8">
        <w:rPr>
          <w:rFonts w:ascii="Times New Roman" w:hAnsi="Times New Roman" w:cs="Times New Roman"/>
          <w:color w:val="auto"/>
          <w:sz w:val="18"/>
          <w:szCs w:val="18"/>
        </w:rPr>
        <w:t xml:space="preserve"> </w:t>
      </w:r>
    </w:p>
    <w:p w14:paraId="02C8EB6B" w14:textId="6AFC4017" w:rsidR="008650C0" w:rsidRPr="003355B8" w:rsidRDefault="008650C0" w:rsidP="00C137F1">
      <w:pPr>
        <w:spacing w:after="120" w:line="360" w:lineRule="auto"/>
        <w:jc w:val="both"/>
        <w:rPr>
          <w:rFonts w:ascii="Cambria Math" w:hAnsi="Cambria Math" w:cs="Cambria Math"/>
          <w:color w:val="auto"/>
          <w:sz w:val="18"/>
          <w:szCs w:val="18"/>
          <w:lang w:val="en-GB" w:eastAsia="de-DE"/>
        </w:rPr>
      </w:pPr>
    </w:p>
    <w:p w14:paraId="6AF5CE34" w14:textId="77777777" w:rsidR="00C137F1" w:rsidRPr="003355B8" w:rsidRDefault="00C137F1" w:rsidP="00C137F1">
      <w:pPr>
        <w:spacing w:after="120" w:line="360" w:lineRule="auto"/>
        <w:jc w:val="both"/>
        <w:rPr>
          <w:rFonts w:ascii="Times New Roman" w:hAnsi="Times New Roman" w:cs="Times New Roman"/>
          <w:color w:val="auto"/>
          <w:sz w:val="20"/>
          <w:szCs w:val="24"/>
          <w:lang w:val="en-GB" w:eastAsia="de-DE"/>
        </w:rPr>
      </w:pPr>
    </w:p>
    <w:p w14:paraId="72F4A31D" w14:textId="6BC126E8" w:rsidR="00C137F1" w:rsidRPr="003355B8" w:rsidRDefault="002F026B" w:rsidP="00C137F1">
      <w:pPr>
        <w:spacing w:after="120" w:line="240" w:lineRule="auto"/>
        <w:jc w:val="center"/>
        <w:rPr>
          <w:rFonts w:ascii="Times New Roman" w:hAnsi="Times New Roman" w:cs="Times New Roman"/>
          <w:color w:val="auto"/>
          <w:sz w:val="24"/>
          <w:szCs w:val="24"/>
        </w:rPr>
      </w:pPr>
      <w:r w:rsidRPr="003355B8">
        <w:rPr>
          <w:rFonts w:ascii="Times New Roman" w:hAnsi="Times New Roman" w:cs="Times New Roman"/>
          <w:noProof/>
          <w:color w:val="auto"/>
          <w:sz w:val="24"/>
          <w:szCs w:val="24"/>
        </w:rPr>
        <w:lastRenderedPageBreak/>
        <w:drawing>
          <wp:inline distT="0" distB="0" distL="0" distR="0" wp14:anchorId="63A4EFCA" wp14:editId="32B3C1B9">
            <wp:extent cx="3556000" cy="2667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reto.eps"/>
                    <pic:cNvPicPr/>
                  </pic:nvPicPr>
                  <pic:blipFill>
                    <a:blip r:embed="rId19"/>
                    <a:stretch>
                      <a:fillRect/>
                    </a:stretch>
                  </pic:blipFill>
                  <pic:spPr>
                    <a:xfrm>
                      <a:off x="0" y="0"/>
                      <a:ext cx="3556000" cy="2667000"/>
                    </a:xfrm>
                    <a:prstGeom prst="rect">
                      <a:avLst/>
                    </a:prstGeom>
                  </pic:spPr>
                </pic:pic>
              </a:graphicData>
            </a:graphic>
          </wp:inline>
        </w:drawing>
      </w:r>
    </w:p>
    <w:p w14:paraId="64494F8E" w14:textId="77777777" w:rsidR="00E55C94" w:rsidRPr="003355B8" w:rsidRDefault="00E55C94" w:rsidP="0076546C">
      <w:pPr>
        <w:tabs>
          <w:tab w:val="left" w:pos="4215"/>
        </w:tabs>
        <w:spacing w:after="120" w:line="240" w:lineRule="auto"/>
        <w:ind w:left="360" w:right="360"/>
        <w:jc w:val="center"/>
        <w:rPr>
          <w:rFonts w:ascii="Times New Roman" w:hAnsi="Times New Roman" w:cs="Times New Roman"/>
          <w:color w:val="auto"/>
          <w:sz w:val="18"/>
          <w:szCs w:val="18"/>
        </w:rPr>
      </w:pPr>
      <w:r w:rsidRPr="003355B8">
        <w:rPr>
          <w:rFonts w:ascii="Times New Roman" w:hAnsi="Times New Roman" w:cs="Times New Roman"/>
          <w:bCs/>
          <w:color w:val="auto"/>
          <w:sz w:val="18"/>
          <w:szCs w:val="18"/>
        </w:rPr>
        <w:t xml:space="preserve">Figure 4: </w:t>
      </w:r>
      <w:r w:rsidRPr="003355B8">
        <w:rPr>
          <w:rFonts w:ascii="Times New Roman" w:hAnsi="Times New Roman" w:cs="Times New Roman"/>
          <w:color w:val="auto"/>
          <w:sz w:val="18"/>
          <w:szCs w:val="18"/>
        </w:rPr>
        <w:t xml:space="preserve">Resilience-robustness trade-off. Each point represents,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r>
          <w:rPr>
            <w:rFonts w:ascii="Cambria Math" w:hAnsi="Cambria Math" w:cs="Times New Roman"/>
            <w:color w:val="auto"/>
            <w:sz w:val="18"/>
            <w:szCs w:val="18"/>
          </w:rPr>
          <m:t xml:space="preserve"> </m:t>
        </m:r>
      </m:oMath>
      <w:r w:rsidRPr="003355B8">
        <w:rPr>
          <w:rFonts w:ascii="Times New Roman" w:hAnsi="Times New Roman" w:cs="Times New Roman"/>
          <w:color w:val="auto"/>
          <w:sz w:val="18"/>
          <w:szCs w:val="18"/>
        </w:rPr>
        <w:t>and</w:t>
      </w:r>
      <m:oMath>
        <m:r>
          <w:rPr>
            <w:rFonts w:ascii="Cambria Math" w:hAnsi="Cambria Math" w:cs="Times New Roman"/>
            <w:color w:val="auto"/>
            <w:sz w:val="18"/>
            <w:szCs w:val="18"/>
          </w:rPr>
          <m:t xml:space="preserve"> </m:t>
        </m:r>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18"/>
          <w:szCs w:val="18"/>
        </w:rPr>
        <w:t xml:space="preserve"> of the coupled system with a given policy. The trade-off is only apparent at the Pareto-optimal frontier.</w:t>
      </w:r>
    </w:p>
    <w:p w14:paraId="16289DFE" w14:textId="77777777" w:rsidR="00C137F1" w:rsidRPr="003355B8" w:rsidRDefault="00C137F1" w:rsidP="00C137F1">
      <w:pPr>
        <w:tabs>
          <w:tab w:val="left" w:pos="4215"/>
        </w:tabs>
        <w:spacing w:after="120" w:line="240" w:lineRule="auto"/>
        <w:ind w:left="360" w:right="360"/>
        <w:jc w:val="both"/>
        <w:rPr>
          <w:rFonts w:ascii="Arial" w:hAnsi="Arial"/>
          <w:color w:val="auto"/>
          <w:sz w:val="20"/>
          <w:szCs w:val="20"/>
        </w:rPr>
      </w:pPr>
    </w:p>
    <w:p w14:paraId="2F41DAFD" w14:textId="0C9B0300" w:rsidR="00C137F1" w:rsidRPr="003355B8" w:rsidRDefault="002F026B" w:rsidP="00484DD5">
      <w:pPr>
        <w:tabs>
          <w:tab w:val="left" w:pos="4215"/>
        </w:tabs>
        <w:spacing w:after="120" w:line="240" w:lineRule="auto"/>
        <w:jc w:val="center"/>
        <w:rPr>
          <w:rFonts w:ascii="Arial" w:hAnsi="Arial"/>
          <w:color w:val="auto"/>
          <w:sz w:val="20"/>
          <w:szCs w:val="20"/>
        </w:rPr>
      </w:pPr>
      <w:r w:rsidRPr="003355B8">
        <w:rPr>
          <w:noProof/>
          <w:color w:val="auto"/>
        </w:rPr>
        <mc:AlternateContent>
          <mc:Choice Requires="wpg">
            <w:drawing>
              <wp:anchor distT="0" distB="0" distL="114300" distR="114300" simplePos="0" relativeHeight="251676672" behindDoc="0" locked="0" layoutInCell="1" allowOverlap="1" wp14:anchorId="2EE116EA" wp14:editId="33443911">
                <wp:simplePos x="0" y="0"/>
                <wp:positionH relativeFrom="column">
                  <wp:posOffset>1326515</wp:posOffset>
                </wp:positionH>
                <wp:positionV relativeFrom="paragraph">
                  <wp:posOffset>2030942</wp:posOffset>
                </wp:positionV>
                <wp:extent cx="3098165" cy="278130"/>
                <wp:effectExtent l="0" t="0" r="635" b="1270"/>
                <wp:wrapNone/>
                <wp:docPr id="46"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98165" cy="278130"/>
                          <a:chOff x="101610" y="0"/>
                          <a:chExt cx="3098642" cy="278296"/>
                        </a:xfrm>
                      </wpg:grpSpPr>
                      <wps:wsp>
                        <wps:cNvPr id="47" name="Text Box 47"/>
                        <wps:cNvSpPr txBox="1"/>
                        <wps:spPr>
                          <a:xfrm>
                            <a:off x="101610" y="0"/>
                            <a:ext cx="365760" cy="278296"/>
                          </a:xfrm>
                          <a:prstGeom prst="rect">
                            <a:avLst/>
                          </a:prstGeom>
                          <a:solidFill>
                            <a:schemeClr val="lt1"/>
                          </a:solidFill>
                          <a:ln w="6350">
                            <a:noFill/>
                          </a:ln>
                        </wps:spPr>
                        <wps:txbx>
                          <w:txbxContent>
                            <w:p w14:paraId="0D9E770D" w14:textId="77777777" w:rsidR="00586A79" w:rsidRPr="00952FF3" w:rsidRDefault="00586A79" w:rsidP="00C137F1">
                              <w:pPr>
                                <w:rPr>
                                  <w:sz w:val="20"/>
                                  <w:szCs w:val="20"/>
                                </w:rPr>
                              </w:pPr>
                              <w:r w:rsidRPr="00952FF3">
                                <w:rPr>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a:off x="2834492" y="0"/>
                            <a:ext cx="365760" cy="278296"/>
                          </a:xfrm>
                          <a:prstGeom prst="rect">
                            <a:avLst/>
                          </a:prstGeom>
                          <a:solidFill>
                            <a:schemeClr val="lt1"/>
                          </a:solidFill>
                          <a:ln w="6350">
                            <a:noFill/>
                          </a:ln>
                        </wps:spPr>
                        <wps:txbx>
                          <w:txbxContent>
                            <w:p w14:paraId="1349ED7D" w14:textId="77777777" w:rsidR="00586A79" w:rsidRPr="00952FF3" w:rsidRDefault="00586A79" w:rsidP="00C137F1">
                              <w:pPr>
                                <w:rPr>
                                  <w:sz w:val="20"/>
                                  <w:szCs w:val="20"/>
                                </w:rPr>
                              </w:pPr>
                              <w:r w:rsidRPr="00952FF3">
                                <w:rPr>
                                  <w:sz w:val="20"/>
                                  <w:szCs w:val="20"/>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EE116EA" id="Group 46" o:spid="_x0000_s1036" style="position:absolute;left:0;text-align:left;margin-left:104.45pt;margin-top:159.9pt;width:243.95pt;height:21.9pt;z-index:251676672" coordorigin="1016" coordsize="30986,27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">
                <v:shape id="Text Box 47" o:spid="_x0000_s1037" type="#_x0000_t202" style="position:absolute;left:1016;width:3657;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" fillcolor="white [3201]" stroked="f" strokeweight=".5pt">
                  <v:textbox>
                    <w:txbxContent>
                      <w:p w14:paraId="0D9E770D" w14:textId="77777777" w:rsidR="00586A79" w:rsidRPr="00952FF3" w:rsidRDefault="00586A79" w:rsidP="00C137F1">
                        <w:pPr>
                          <w:rPr>
                            <w:sz w:val="20"/>
                            <w:szCs w:val="20"/>
                          </w:rPr>
                        </w:pPr>
                        <w:r w:rsidRPr="00952FF3">
                          <w:rPr>
                            <w:sz w:val="20"/>
                            <w:szCs w:val="20"/>
                          </w:rPr>
                          <w:t>(a)</w:t>
                        </w:r>
                      </w:p>
                    </w:txbxContent>
                  </v:textbox>
                </v:shape>
                <v:shape id="Text Box 48" o:spid="_x0000_s1038" type="#_x0000_t202" style="position:absolute;left:28344;width:3658;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" fillcolor="white [3201]" stroked="f" strokeweight=".5pt">
                  <v:textbox>
                    <w:txbxContent>
                      <w:p w14:paraId="1349ED7D" w14:textId="77777777" w:rsidR="00586A79" w:rsidRPr="00952FF3" w:rsidRDefault="00586A79" w:rsidP="00C137F1">
                        <w:pPr>
                          <w:rPr>
                            <w:sz w:val="20"/>
                            <w:szCs w:val="20"/>
                          </w:rPr>
                        </w:pPr>
                        <w:r w:rsidRPr="00952FF3">
                          <w:rPr>
                            <w:sz w:val="20"/>
                            <w:szCs w:val="20"/>
                          </w:rPr>
                          <w:t>(b)</w:t>
                        </w:r>
                      </w:p>
                    </w:txbxContent>
                  </v:textbox>
                </v:shape>
              </v:group>
            </w:pict>
          </mc:Fallback>
        </mc:AlternateContent>
      </w:r>
      <w:r w:rsidRPr="003355B8">
        <w:rPr>
          <w:rFonts w:ascii="Arial" w:hAnsi="Arial"/>
          <w:noProof/>
          <w:color w:val="auto"/>
          <w:sz w:val="20"/>
          <w:szCs w:val="20"/>
        </w:rPr>
        <w:drawing>
          <wp:inline distT="0" distB="0" distL="0" distR="0" wp14:anchorId="0A0D48CD" wp14:editId="4EE7D0E2">
            <wp:extent cx="2679192" cy="2009394"/>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esilience-pareto.eps"/>
                    <pic:cNvPicPr/>
                  </pic:nvPicPr>
                  <pic:blipFill>
                    <a:blip r:embed="rId20"/>
                    <a:stretch>
                      <a:fillRect/>
                    </a:stretch>
                  </pic:blipFill>
                  <pic:spPr>
                    <a:xfrm>
                      <a:off x="0" y="0"/>
                      <a:ext cx="2679192" cy="2009394"/>
                    </a:xfrm>
                    <a:prstGeom prst="rect">
                      <a:avLst/>
                    </a:prstGeom>
                  </pic:spPr>
                </pic:pic>
              </a:graphicData>
            </a:graphic>
          </wp:inline>
        </w:drawing>
      </w:r>
      <w:r w:rsidRPr="003355B8">
        <w:rPr>
          <w:rFonts w:ascii="Arial" w:hAnsi="Arial"/>
          <w:color w:val="auto"/>
          <w:sz w:val="20"/>
          <w:szCs w:val="20"/>
        </w:rPr>
        <w:t xml:space="preserve">  </w:t>
      </w:r>
      <w:r w:rsidRPr="003355B8">
        <w:rPr>
          <w:rFonts w:ascii="Arial" w:hAnsi="Arial"/>
          <w:noProof/>
          <w:color w:val="auto"/>
          <w:sz w:val="20"/>
          <w:szCs w:val="20"/>
        </w:rPr>
        <w:drawing>
          <wp:inline distT="0" distB="0" distL="0" distR="0" wp14:anchorId="2A01B8D0" wp14:editId="2134B002">
            <wp:extent cx="2679192" cy="2009394"/>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Robustness-pareto.eps"/>
                    <pic:cNvPicPr/>
                  </pic:nvPicPr>
                  <pic:blipFill>
                    <a:blip r:embed="rId21"/>
                    <a:stretch>
                      <a:fillRect/>
                    </a:stretch>
                  </pic:blipFill>
                  <pic:spPr>
                    <a:xfrm>
                      <a:off x="0" y="0"/>
                      <a:ext cx="2679192" cy="2009394"/>
                    </a:xfrm>
                    <a:prstGeom prst="rect">
                      <a:avLst/>
                    </a:prstGeom>
                  </pic:spPr>
                </pic:pic>
              </a:graphicData>
            </a:graphic>
          </wp:inline>
        </w:drawing>
      </w:r>
    </w:p>
    <w:p w14:paraId="0C7ADADA" w14:textId="01154C3E" w:rsidR="00C137F1" w:rsidRPr="003355B8" w:rsidRDefault="00C137F1" w:rsidP="00C137F1">
      <w:pPr>
        <w:spacing w:after="120" w:line="240" w:lineRule="auto"/>
        <w:jc w:val="center"/>
        <w:rPr>
          <w:rFonts w:ascii="Arial" w:hAnsi="Arial"/>
          <w:b/>
          <w:bCs/>
          <w:color w:val="auto"/>
          <w:sz w:val="20"/>
          <w:szCs w:val="20"/>
        </w:rPr>
      </w:pPr>
    </w:p>
    <w:p w14:paraId="5B86B7FB" w14:textId="77777777" w:rsidR="00725E44" w:rsidRPr="003355B8" w:rsidRDefault="00725E44" w:rsidP="00725E44">
      <w:pPr>
        <w:spacing w:after="120" w:line="240" w:lineRule="auto"/>
        <w:jc w:val="center"/>
        <w:rPr>
          <w:rFonts w:ascii="Times New Roman" w:hAnsi="Times New Roman" w:cs="Times New Roman"/>
          <w:color w:val="auto"/>
          <w:sz w:val="18"/>
          <w:szCs w:val="18"/>
        </w:rPr>
      </w:pPr>
      <w:r w:rsidRPr="003355B8">
        <w:rPr>
          <w:rFonts w:ascii="Times New Roman" w:hAnsi="Times New Roman" w:cs="Times New Roman"/>
          <w:bCs/>
          <w:color w:val="auto"/>
          <w:sz w:val="18"/>
          <w:szCs w:val="18"/>
        </w:rPr>
        <w:t>Figure 5:</w:t>
      </w:r>
      <w:r w:rsidRPr="003355B8">
        <w:rPr>
          <w:rFonts w:ascii="Times New Roman" w:hAnsi="Times New Roman" w:cs="Times New Roman"/>
          <w:color w:val="auto"/>
          <w:sz w:val="18"/>
          <w:szCs w:val="18"/>
        </w:rPr>
        <w:t xml:space="preserve"> Pareto optimal policies with high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in the policy space (</w:t>
      </w:r>
      <m:oMath>
        <m:r>
          <w:rPr>
            <w:rFonts w:ascii="Cambria Math" w:hAnsi="Cambria Math" w:cs="Times New Roman"/>
            <w:color w:val="auto"/>
            <w:sz w:val="18"/>
            <w:szCs w:val="18"/>
          </w:rPr>
          <m:t>C</m:t>
        </m:r>
      </m:oMath>
      <w:r w:rsidRPr="003355B8">
        <w:rPr>
          <w:rFonts w:ascii="Times New Roman" w:hAnsi="Times New Roman" w:cs="Times New Roman"/>
          <w:color w:val="auto"/>
          <w:sz w:val="18"/>
          <w:szCs w:val="18"/>
        </w:rPr>
        <w:t>-</w:t>
      </w:r>
      <m:oMath>
        <m:r>
          <w:rPr>
            <w:rFonts w:ascii="Cambria Math" w:hAnsi="Cambria Math" w:cs="Times New Roman"/>
            <w:color w:val="auto"/>
            <w:sz w:val="18"/>
            <w:szCs w:val="18"/>
          </w:rPr>
          <m:t>y</m:t>
        </m:r>
      </m:oMath>
      <w:r w:rsidRPr="003355B8">
        <w:rPr>
          <w:rFonts w:ascii="Times New Roman" w:hAnsi="Times New Roman" w:cs="Times New Roman"/>
          <w:color w:val="auto"/>
          <w:sz w:val="18"/>
          <w:szCs w:val="18"/>
        </w:rPr>
        <w:t xml:space="preserve"> plane), superimposed with </w:t>
      </w:r>
      <m:oMath>
        <m:sSub>
          <m:sSubPr>
            <m:ctrlPr>
              <w:rPr>
                <w:rFonts w:ascii="Cambria Math" w:hAnsi="Cambria Math" w:cs="Times New Roman"/>
                <w:color w:val="auto"/>
                <w:sz w:val="18"/>
                <w:szCs w:val="18"/>
              </w:rPr>
            </m:ctrlPr>
          </m:sSubPr>
          <m:e>
            <m:r>
              <w:rPr>
                <w:rFonts w:ascii="Cambria Math" w:hAnsi="Cambria Math" w:cs="Times New Roman"/>
                <w:color w:val="auto"/>
                <w:sz w:val="18"/>
                <w:szCs w:val="18"/>
              </w:rPr>
              <m:t>μ</m:t>
            </m:r>
          </m:e>
          <m:sub>
            <m:r>
              <w:rPr>
                <w:rFonts w:ascii="Cambria Math" w:hAnsi="Cambria Math" w:cs="Times New Roman"/>
                <w:color w:val="auto"/>
                <w:sz w:val="18"/>
                <w:szCs w:val="18"/>
              </w:rPr>
              <m:t>R</m:t>
            </m:r>
            <m:r>
              <m:rPr>
                <m:sty m:val="p"/>
              </m:rPr>
              <w:rPr>
                <w:rFonts w:ascii="Cambria Math" w:hAnsi="Cambria Math" w:cs="Times New Roman"/>
                <w:color w:val="auto"/>
                <w:sz w:val="18"/>
                <w:szCs w:val="18"/>
              </w:rPr>
              <m:t>-</m:t>
            </m:r>
            <m:r>
              <w:rPr>
                <w:rFonts w:ascii="Cambria Math" w:hAnsi="Cambria Math" w:cs="Times New Roman"/>
                <w:color w:val="auto"/>
                <w:sz w:val="18"/>
                <w:szCs w:val="18"/>
              </w:rPr>
              <m:t>system</m:t>
            </m:r>
          </m:sub>
        </m:sSub>
      </m:oMath>
      <w:r w:rsidRPr="003355B8">
        <w:rPr>
          <w:rFonts w:ascii="Times New Roman" w:hAnsi="Times New Roman" w:cs="Times New Roman"/>
          <w:color w:val="auto"/>
          <w:sz w:val="18"/>
          <w:szCs w:val="18"/>
        </w:rPr>
        <w:t xml:space="preserve"> contours (a) and </w:t>
      </w:r>
      <m:oMath>
        <m:sSub>
          <m:sSubPr>
            <m:ctrlPr>
              <w:rPr>
                <w:rFonts w:ascii="Cambria Math" w:hAnsi="Cambria Math" w:cs="Times New Roman"/>
                <w:color w:val="auto"/>
                <w:sz w:val="20"/>
                <w:szCs w:val="24"/>
                <w:lang w:val="en-GB" w:eastAsia="de-DE"/>
              </w:rPr>
            </m:ctrlPr>
          </m:sSubPr>
          <m:e>
            <m:r>
              <w:rPr>
                <w:rFonts w:ascii="Cambria Math" w:hAnsi="Cambria Math" w:cs="Times New Roman"/>
                <w:color w:val="auto"/>
                <w:sz w:val="20"/>
                <w:szCs w:val="24"/>
                <w:lang w:val="en-GB" w:eastAsia="de-DE"/>
              </w:rPr>
              <m:t>μ</m:t>
            </m:r>
          </m:e>
          <m:sub>
            <m:r>
              <w:rPr>
                <w:rFonts w:ascii="Cambria Math" w:hAnsi="Cambria Math" w:cs="Times New Roman"/>
                <w:color w:val="auto"/>
                <w:sz w:val="20"/>
                <w:szCs w:val="24"/>
                <w:lang w:val="en-GB" w:eastAsia="de-DE"/>
              </w:rPr>
              <m:t>R&lt;μ</m:t>
            </m:r>
          </m:sub>
        </m:sSub>
      </m:oMath>
      <w:r w:rsidRPr="003355B8">
        <w:rPr>
          <w:rFonts w:ascii="Times New Roman" w:hAnsi="Times New Roman" w:cs="Times New Roman"/>
          <w:color w:val="auto"/>
          <w:sz w:val="18"/>
          <w:szCs w:val="18"/>
        </w:rPr>
        <w:t xml:space="preserve"> contours (b).</w:t>
      </w:r>
    </w:p>
    <w:p w14:paraId="6A339974" w14:textId="4AA304B8" w:rsidR="00C137F1" w:rsidRPr="003355B8" w:rsidRDefault="00C137F1" w:rsidP="00C137F1">
      <w:pPr>
        <w:spacing w:after="120" w:line="360" w:lineRule="auto"/>
        <w:jc w:val="both"/>
        <w:rPr>
          <w:rFonts w:ascii="Cambria Math" w:hAnsi="Cambria Math" w:cs="Cambria Math"/>
          <w:color w:val="auto"/>
          <w:sz w:val="20"/>
          <w:szCs w:val="24"/>
          <w:lang w:val="en-GB" w:eastAsia="de-DE"/>
        </w:rPr>
      </w:pPr>
    </w:p>
    <w:p w14:paraId="6AF8DE82" w14:textId="6693164E" w:rsidR="002F026B" w:rsidRPr="003355B8" w:rsidRDefault="002F026B" w:rsidP="00484DD5">
      <w:pPr>
        <w:spacing w:after="120" w:line="360" w:lineRule="auto"/>
        <w:jc w:val="center"/>
        <w:rPr>
          <w:rFonts w:ascii="Cambria Math" w:hAnsi="Cambria Math" w:cs="Cambria Math"/>
          <w:color w:val="auto"/>
          <w:sz w:val="20"/>
          <w:szCs w:val="24"/>
          <w:lang w:val="en-GB" w:eastAsia="de-DE"/>
        </w:rPr>
      </w:pPr>
      <w:r w:rsidRPr="003355B8">
        <w:rPr>
          <w:rFonts w:ascii="Cambria Math" w:hAnsi="Cambria Math" w:cs="Cambria Math"/>
          <w:noProof/>
          <w:color w:val="auto"/>
          <w:sz w:val="20"/>
          <w:szCs w:val="24"/>
        </w:rPr>
        <w:lastRenderedPageBreak/>
        <w:drawing>
          <wp:inline distT="0" distB="0" distL="0" distR="0" wp14:anchorId="18E13C3A" wp14:editId="06BF3EDB">
            <wp:extent cx="4572000" cy="204716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rob_framework_s.pdf"/>
                    <pic:cNvPicPr/>
                  </pic:nvPicPr>
                  <pic:blipFill>
                    <a:blip r:embed="rId22"/>
                    <a:stretch>
                      <a:fillRect/>
                    </a:stretch>
                  </pic:blipFill>
                  <pic:spPr>
                    <a:xfrm>
                      <a:off x="0" y="0"/>
                      <a:ext cx="4572000" cy="2047164"/>
                    </a:xfrm>
                    <a:prstGeom prst="rect">
                      <a:avLst/>
                    </a:prstGeom>
                  </pic:spPr>
                </pic:pic>
              </a:graphicData>
            </a:graphic>
          </wp:inline>
        </w:drawing>
      </w:r>
    </w:p>
    <w:p w14:paraId="0C6EB061" w14:textId="77777777" w:rsidR="002F026B" w:rsidRPr="003355B8" w:rsidRDefault="002F026B" w:rsidP="002F026B">
      <w:pPr>
        <w:spacing w:after="120" w:line="240" w:lineRule="auto"/>
        <w:jc w:val="center"/>
        <w:rPr>
          <w:rFonts w:ascii="Times New Roman" w:hAnsi="Times New Roman" w:cs="Times New Roman"/>
          <w:color w:val="auto"/>
          <w:sz w:val="18"/>
          <w:szCs w:val="18"/>
        </w:rPr>
      </w:pPr>
      <w:r w:rsidRPr="003355B8">
        <w:rPr>
          <w:rFonts w:ascii="Times New Roman" w:hAnsi="Times New Roman" w:cs="Times New Roman"/>
          <w:bCs/>
          <w:color w:val="auto"/>
          <w:sz w:val="18"/>
          <w:szCs w:val="18"/>
        </w:rPr>
        <w:t>Figure A1:</w:t>
      </w:r>
      <w:r w:rsidRPr="003355B8">
        <w:rPr>
          <w:rFonts w:ascii="Times New Roman" w:hAnsi="Times New Roman" w:cs="Times New Roman"/>
          <w:color w:val="auto"/>
          <w:sz w:val="18"/>
          <w:szCs w:val="18"/>
        </w:rPr>
        <w:t xml:space="preserve"> Schematic diagram of the dynamical system model.  Taken from </w:t>
      </w:r>
      <w:proofErr w:type="spellStart"/>
      <w:r w:rsidRPr="003355B8">
        <w:rPr>
          <w:rFonts w:ascii="Times New Roman" w:hAnsi="Times New Roman" w:cs="Times New Roman"/>
          <w:color w:val="auto"/>
          <w:sz w:val="18"/>
          <w:szCs w:val="18"/>
        </w:rPr>
        <w:t>Muneepeerakul</w:t>
      </w:r>
      <w:proofErr w:type="spellEnd"/>
      <w:r w:rsidRPr="003355B8">
        <w:rPr>
          <w:rFonts w:ascii="Times New Roman" w:hAnsi="Times New Roman" w:cs="Times New Roman"/>
          <w:color w:val="auto"/>
          <w:sz w:val="18"/>
          <w:szCs w:val="18"/>
        </w:rPr>
        <w:t xml:space="preserve"> and </w:t>
      </w:r>
      <w:proofErr w:type="spellStart"/>
      <w:r w:rsidRPr="003355B8">
        <w:rPr>
          <w:rFonts w:ascii="Times New Roman" w:hAnsi="Times New Roman" w:cs="Times New Roman"/>
          <w:color w:val="auto"/>
          <w:sz w:val="18"/>
          <w:szCs w:val="18"/>
        </w:rPr>
        <w:t>Anderies</w:t>
      </w:r>
      <w:proofErr w:type="spellEnd"/>
      <w:r w:rsidRPr="003355B8">
        <w:rPr>
          <w:rFonts w:ascii="Times New Roman" w:hAnsi="Times New Roman" w:cs="Times New Roman"/>
          <w:color w:val="auto"/>
          <w:sz w:val="18"/>
          <w:szCs w:val="18"/>
        </w:rPr>
        <w:t xml:space="preserve"> (2017).</w:t>
      </w:r>
    </w:p>
    <w:p w14:paraId="40289862" w14:textId="77777777" w:rsidR="002F026B" w:rsidRPr="003355B8" w:rsidRDefault="002F026B" w:rsidP="00C137F1">
      <w:pPr>
        <w:spacing w:after="120" w:line="360" w:lineRule="auto"/>
        <w:jc w:val="both"/>
        <w:rPr>
          <w:rFonts w:ascii="Cambria Math" w:hAnsi="Cambria Math" w:cs="Cambria Math"/>
          <w:color w:val="auto"/>
          <w:sz w:val="20"/>
          <w:szCs w:val="24"/>
          <w:lang w:eastAsia="de-DE"/>
        </w:rPr>
      </w:pPr>
    </w:p>
    <w:sectPr w:rsidR="002F026B" w:rsidRPr="003355B8" w:rsidSect="002E16A5">
      <w:footerReference w:type="even" r:id="rId23"/>
      <w:footerReference w:type="default" r:id="rId24"/>
      <w:pgSz w:w="12240" w:h="15840" w:code="1"/>
      <w:pgMar w:top="1440" w:right="1440" w:bottom="1440" w:left="1440" w:header="0" w:footer="720" w:gutter="0"/>
      <w:lnNumType w:countBy="5"/>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CB8AF6" w14:textId="77777777" w:rsidR="00CD53B6" w:rsidRDefault="00CD53B6" w:rsidP="004A25E8">
      <w:pPr>
        <w:spacing w:after="0" w:line="240" w:lineRule="auto"/>
      </w:pPr>
      <w:r>
        <w:separator/>
      </w:r>
    </w:p>
  </w:endnote>
  <w:endnote w:type="continuationSeparator" w:id="0">
    <w:p w14:paraId="0C9AD0F2" w14:textId="77777777" w:rsidR="00CD53B6" w:rsidRDefault="00CD53B6" w:rsidP="004A25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FDCBDE" w14:textId="77777777" w:rsidR="00586A79" w:rsidRDefault="00586A79">
    <w:pPr>
      <w:tabs>
        <w:tab w:val="center" w:pos="4680"/>
        <w:tab w:val="right" w:pos="9360"/>
      </w:tabs>
      <w:spacing w:after="0" w:line="240" w:lineRule="auto"/>
      <w:jc w:val="center"/>
    </w:pPr>
    <w:r>
      <w:fldChar w:fldCharType="begin"/>
    </w:r>
    <w:r>
      <w:instrText>PAGE</w:instrText>
    </w:r>
    <w:r>
      <w:fldChar w:fldCharType="end"/>
    </w:r>
  </w:p>
  <w:p w14:paraId="3482CE94" w14:textId="77777777" w:rsidR="00586A79" w:rsidRDefault="00586A79">
    <w:pPr>
      <w:tabs>
        <w:tab w:val="center" w:pos="4680"/>
        <w:tab w:val="right" w:pos="9360"/>
      </w:tabs>
      <w:spacing w:after="72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A06CC7" w14:textId="07A56B15" w:rsidR="00586A79" w:rsidRDefault="00586A79">
    <w:pPr>
      <w:tabs>
        <w:tab w:val="center" w:pos="4680"/>
        <w:tab w:val="right" w:pos="9360"/>
      </w:tabs>
      <w:spacing w:after="0" w:line="240" w:lineRule="auto"/>
      <w:jc w:val="center"/>
    </w:pPr>
    <w:r>
      <w:fldChar w:fldCharType="begin"/>
    </w:r>
    <w:r>
      <w:instrText>PAGE</w:instrText>
    </w:r>
    <w:r>
      <w:fldChar w:fldCharType="separate"/>
    </w:r>
    <w:r>
      <w:rPr>
        <w:noProof/>
      </w:rPr>
      <w:t>6</w:t>
    </w:r>
    <w:r>
      <w:fldChar w:fldCharType="end"/>
    </w:r>
  </w:p>
  <w:p w14:paraId="7379DEB0" w14:textId="77777777" w:rsidR="00586A79" w:rsidRDefault="00586A79">
    <w:pPr>
      <w:tabs>
        <w:tab w:val="center" w:pos="4680"/>
        <w:tab w:val="right" w:pos="9360"/>
      </w:tabs>
      <w:spacing w:after="72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DEAD4D" w14:textId="77777777" w:rsidR="00CD53B6" w:rsidRDefault="00CD53B6" w:rsidP="004A25E8">
      <w:pPr>
        <w:spacing w:after="0" w:line="240" w:lineRule="auto"/>
      </w:pPr>
      <w:r>
        <w:separator/>
      </w:r>
    </w:p>
  </w:footnote>
  <w:footnote w:type="continuationSeparator" w:id="0">
    <w:p w14:paraId="667CDDED" w14:textId="77777777" w:rsidR="00CD53B6" w:rsidRDefault="00CD53B6" w:rsidP="004A25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637E16"/>
    <w:multiLevelType w:val="multilevel"/>
    <w:tmpl w:val="D3D2D62C"/>
    <w:lvl w:ilvl="0">
      <w:start w:val="1"/>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1" w15:restartNumberingAfterBreak="0">
    <w:nsid w:val="09B462B9"/>
    <w:multiLevelType w:val="multilevel"/>
    <w:tmpl w:val="2D7EC370"/>
    <w:lvl w:ilvl="0">
      <w:start w:val="2"/>
      <w:numFmt w:val="lowerLetter"/>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Letter"/>
      <w:lvlText w:val="%3."/>
      <w:lvlJc w:val="left"/>
      <w:pPr>
        <w:ind w:left="2160" w:hanging="360"/>
      </w:pPr>
      <w:rPr>
        <w:rFonts w:cs="Times New Roman"/>
      </w:rPr>
    </w:lvl>
    <w:lvl w:ilvl="3">
      <w:start w:val="1"/>
      <w:numFmt w:val="lowerLetter"/>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Letter"/>
      <w:lvlText w:val="%6."/>
      <w:lvlJc w:val="left"/>
      <w:pPr>
        <w:ind w:left="4320" w:hanging="360"/>
      </w:pPr>
      <w:rPr>
        <w:rFonts w:cs="Times New Roman"/>
      </w:rPr>
    </w:lvl>
    <w:lvl w:ilvl="6">
      <w:start w:val="1"/>
      <w:numFmt w:val="lowerLetter"/>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Letter"/>
      <w:lvlText w:val="%9."/>
      <w:lvlJc w:val="left"/>
      <w:pPr>
        <w:ind w:left="6480" w:hanging="360"/>
      </w:pPr>
      <w:rPr>
        <w:rFonts w:cs="Times New Roman"/>
      </w:rPr>
    </w:lvl>
  </w:abstractNum>
  <w:abstractNum w:abstractNumId="2" w15:restartNumberingAfterBreak="0">
    <w:nsid w:val="0ADE2065"/>
    <w:multiLevelType w:val="multilevel"/>
    <w:tmpl w:val="E3D4FED0"/>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AD4D52"/>
    <w:multiLevelType w:val="multilevel"/>
    <w:tmpl w:val="2A9AC1EE"/>
    <w:lvl w:ilvl="0">
      <w:start w:val="2"/>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4" w15:restartNumberingAfterBreak="0">
    <w:nsid w:val="10071AD4"/>
    <w:multiLevelType w:val="multilevel"/>
    <w:tmpl w:val="C234EAE2"/>
    <w:lvl w:ilvl="0">
      <w:start w:val="1"/>
      <w:numFmt w:val="lowerLetter"/>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Letter"/>
      <w:lvlText w:val="%3."/>
      <w:lvlJc w:val="left"/>
      <w:pPr>
        <w:ind w:left="2160" w:hanging="360"/>
      </w:pPr>
      <w:rPr>
        <w:rFonts w:cs="Times New Roman"/>
      </w:rPr>
    </w:lvl>
    <w:lvl w:ilvl="3">
      <w:start w:val="1"/>
      <w:numFmt w:val="lowerLetter"/>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Letter"/>
      <w:lvlText w:val="%6."/>
      <w:lvlJc w:val="left"/>
      <w:pPr>
        <w:ind w:left="4320" w:hanging="360"/>
      </w:pPr>
      <w:rPr>
        <w:rFonts w:cs="Times New Roman"/>
      </w:rPr>
    </w:lvl>
    <w:lvl w:ilvl="6">
      <w:start w:val="1"/>
      <w:numFmt w:val="lowerLetter"/>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Letter"/>
      <w:lvlText w:val="%9."/>
      <w:lvlJc w:val="left"/>
      <w:pPr>
        <w:ind w:left="6480" w:hanging="360"/>
      </w:pPr>
      <w:rPr>
        <w:rFonts w:cs="Times New Roman"/>
      </w:rPr>
    </w:lvl>
  </w:abstractNum>
  <w:abstractNum w:abstractNumId="5" w15:restartNumberingAfterBreak="0">
    <w:nsid w:val="125B670D"/>
    <w:multiLevelType w:val="multilevel"/>
    <w:tmpl w:val="3416B358"/>
    <w:lvl w:ilvl="0">
      <w:start w:val="1"/>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6" w15:restartNumberingAfterBreak="0">
    <w:nsid w:val="139B548E"/>
    <w:multiLevelType w:val="multilevel"/>
    <w:tmpl w:val="0A7EC6F8"/>
    <w:lvl w:ilvl="0">
      <w:start w:val="2"/>
      <w:numFmt w:val="lowerRoman"/>
      <w:lvlText w:val="%1."/>
      <w:lvlJc w:val="right"/>
      <w:pPr>
        <w:ind w:left="720" w:hanging="360"/>
      </w:pPr>
      <w:rPr>
        <w:rFonts w:cs="Times New Roman"/>
      </w:rPr>
    </w:lvl>
    <w:lvl w:ilvl="1">
      <w:start w:val="1"/>
      <w:numFmt w:val="lowerRoman"/>
      <w:lvlText w:val="%2."/>
      <w:lvlJc w:val="right"/>
      <w:pPr>
        <w:ind w:left="1440" w:hanging="360"/>
      </w:pPr>
      <w:rPr>
        <w:rFonts w:cs="Times New Roman"/>
      </w:rPr>
    </w:lvl>
    <w:lvl w:ilvl="2">
      <w:start w:val="1"/>
      <w:numFmt w:val="lowerRoman"/>
      <w:lvlText w:val="%3."/>
      <w:lvlJc w:val="right"/>
      <w:pPr>
        <w:ind w:left="2160" w:hanging="360"/>
      </w:pPr>
      <w:rPr>
        <w:rFonts w:cs="Times New Roman"/>
      </w:rPr>
    </w:lvl>
    <w:lvl w:ilvl="3">
      <w:start w:val="1"/>
      <w:numFmt w:val="lowerRoman"/>
      <w:lvlText w:val="%4."/>
      <w:lvlJc w:val="right"/>
      <w:pPr>
        <w:ind w:left="2880" w:hanging="360"/>
      </w:pPr>
      <w:rPr>
        <w:rFonts w:cs="Times New Roman"/>
      </w:rPr>
    </w:lvl>
    <w:lvl w:ilvl="4">
      <w:start w:val="1"/>
      <w:numFmt w:val="lowerRoman"/>
      <w:lvlText w:val="%5."/>
      <w:lvlJc w:val="right"/>
      <w:pPr>
        <w:ind w:left="3600" w:hanging="360"/>
      </w:pPr>
      <w:rPr>
        <w:rFonts w:cs="Times New Roman"/>
      </w:rPr>
    </w:lvl>
    <w:lvl w:ilvl="5">
      <w:start w:val="1"/>
      <w:numFmt w:val="lowerRoman"/>
      <w:lvlText w:val="%6."/>
      <w:lvlJc w:val="right"/>
      <w:pPr>
        <w:ind w:left="4320" w:hanging="360"/>
      </w:pPr>
      <w:rPr>
        <w:rFonts w:cs="Times New Roman"/>
      </w:rPr>
    </w:lvl>
    <w:lvl w:ilvl="6">
      <w:start w:val="1"/>
      <w:numFmt w:val="lowerRoman"/>
      <w:lvlText w:val="%7."/>
      <w:lvlJc w:val="right"/>
      <w:pPr>
        <w:ind w:left="5040" w:hanging="360"/>
      </w:pPr>
      <w:rPr>
        <w:rFonts w:cs="Times New Roman"/>
      </w:rPr>
    </w:lvl>
    <w:lvl w:ilvl="7">
      <w:start w:val="1"/>
      <w:numFmt w:val="lowerRoman"/>
      <w:lvlText w:val="%8."/>
      <w:lvlJc w:val="right"/>
      <w:pPr>
        <w:ind w:left="5760" w:hanging="360"/>
      </w:pPr>
      <w:rPr>
        <w:rFonts w:cs="Times New Roman"/>
      </w:rPr>
    </w:lvl>
    <w:lvl w:ilvl="8">
      <w:start w:val="1"/>
      <w:numFmt w:val="lowerRoman"/>
      <w:lvlText w:val="%9."/>
      <w:lvlJc w:val="right"/>
      <w:pPr>
        <w:ind w:left="6480" w:hanging="360"/>
      </w:pPr>
      <w:rPr>
        <w:rFonts w:cs="Times New Roman"/>
      </w:rPr>
    </w:lvl>
  </w:abstractNum>
  <w:abstractNum w:abstractNumId="7" w15:restartNumberingAfterBreak="0">
    <w:nsid w:val="231F10A6"/>
    <w:multiLevelType w:val="multilevel"/>
    <w:tmpl w:val="DBD293E2"/>
    <w:lvl w:ilvl="0">
      <w:start w:val="1"/>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8" w15:restartNumberingAfterBreak="0">
    <w:nsid w:val="27331023"/>
    <w:multiLevelType w:val="multilevel"/>
    <w:tmpl w:val="7EC8506C"/>
    <w:lvl w:ilvl="0">
      <w:start w:val="1"/>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9" w15:restartNumberingAfterBreak="0">
    <w:nsid w:val="290966D4"/>
    <w:multiLevelType w:val="hybridMultilevel"/>
    <w:tmpl w:val="FAECB414"/>
    <w:lvl w:ilvl="0" w:tplc="97E80EBE">
      <w:start w:val="1"/>
      <w:numFmt w:val="lowerLetter"/>
      <w:lvlText w:val="(%1)"/>
      <w:lvlJc w:val="left"/>
      <w:pPr>
        <w:ind w:left="2960" w:hanging="360"/>
      </w:pPr>
      <w:rPr>
        <w:rFonts w:cs="Times New Roman" w:hint="default"/>
      </w:rPr>
    </w:lvl>
    <w:lvl w:ilvl="1" w:tplc="04090019" w:tentative="1">
      <w:start w:val="1"/>
      <w:numFmt w:val="lowerLetter"/>
      <w:lvlText w:val="%2."/>
      <w:lvlJc w:val="left"/>
      <w:pPr>
        <w:ind w:left="3680" w:hanging="360"/>
      </w:pPr>
      <w:rPr>
        <w:rFonts w:cs="Times New Roman"/>
      </w:rPr>
    </w:lvl>
    <w:lvl w:ilvl="2" w:tplc="0409001B" w:tentative="1">
      <w:start w:val="1"/>
      <w:numFmt w:val="lowerRoman"/>
      <w:lvlText w:val="%3."/>
      <w:lvlJc w:val="right"/>
      <w:pPr>
        <w:ind w:left="4400" w:hanging="180"/>
      </w:pPr>
      <w:rPr>
        <w:rFonts w:cs="Times New Roman"/>
      </w:rPr>
    </w:lvl>
    <w:lvl w:ilvl="3" w:tplc="0409000F" w:tentative="1">
      <w:start w:val="1"/>
      <w:numFmt w:val="decimal"/>
      <w:lvlText w:val="%4."/>
      <w:lvlJc w:val="left"/>
      <w:pPr>
        <w:ind w:left="5120" w:hanging="360"/>
      </w:pPr>
      <w:rPr>
        <w:rFonts w:cs="Times New Roman"/>
      </w:rPr>
    </w:lvl>
    <w:lvl w:ilvl="4" w:tplc="04090019" w:tentative="1">
      <w:start w:val="1"/>
      <w:numFmt w:val="lowerLetter"/>
      <w:lvlText w:val="%5."/>
      <w:lvlJc w:val="left"/>
      <w:pPr>
        <w:ind w:left="5840" w:hanging="360"/>
      </w:pPr>
      <w:rPr>
        <w:rFonts w:cs="Times New Roman"/>
      </w:rPr>
    </w:lvl>
    <w:lvl w:ilvl="5" w:tplc="0409001B" w:tentative="1">
      <w:start w:val="1"/>
      <w:numFmt w:val="lowerRoman"/>
      <w:lvlText w:val="%6."/>
      <w:lvlJc w:val="right"/>
      <w:pPr>
        <w:ind w:left="6560" w:hanging="180"/>
      </w:pPr>
      <w:rPr>
        <w:rFonts w:cs="Times New Roman"/>
      </w:rPr>
    </w:lvl>
    <w:lvl w:ilvl="6" w:tplc="0409000F" w:tentative="1">
      <w:start w:val="1"/>
      <w:numFmt w:val="decimal"/>
      <w:lvlText w:val="%7."/>
      <w:lvlJc w:val="left"/>
      <w:pPr>
        <w:ind w:left="7280" w:hanging="360"/>
      </w:pPr>
      <w:rPr>
        <w:rFonts w:cs="Times New Roman"/>
      </w:rPr>
    </w:lvl>
    <w:lvl w:ilvl="7" w:tplc="04090019" w:tentative="1">
      <w:start w:val="1"/>
      <w:numFmt w:val="lowerLetter"/>
      <w:lvlText w:val="%8."/>
      <w:lvlJc w:val="left"/>
      <w:pPr>
        <w:ind w:left="8000" w:hanging="360"/>
      </w:pPr>
      <w:rPr>
        <w:rFonts w:cs="Times New Roman"/>
      </w:rPr>
    </w:lvl>
    <w:lvl w:ilvl="8" w:tplc="0409001B" w:tentative="1">
      <w:start w:val="1"/>
      <w:numFmt w:val="lowerRoman"/>
      <w:lvlText w:val="%9."/>
      <w:lvlJc w:val="right"/>
      <w:pPr>
        <w:ind w:left="8720" w:hanging="180"/>
      </w:pPr>
      <w:rPr>
        <w:rFonts w:cs="Times New Roman"/>
      </w:rPr>
    </w:lvl>
  </w:abstractNum>
  <w:abstractNum w:abstractNumId="10" w15:restartNumberingAfterBreak="0">
    <w:nsid w:val="2BAF022E"/>
    <w:multiLevelType w:val="multilevel"/>
    <w:tmpl w:val="84C282E4"/>
    <w:lvl w:ilvl="0">
      <w:start w:val="3"/>
      <w:numFmt w:val="lowerLetter"/>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Letter"/>
      <w:lvlText w:val="%3."/>
      <w:lvlJc w:val="left"/>
      <w:pPr>
        <w:ind w:left="2160" w:hanging="360"/>
      </w:pPr>
      <w:rPr>
        <w:rFonts w:cs="Times New Roman"/>
      </w:rPr>
    </w:lvl>
    <w:lvl w:ilvl="3">
      <w:start w:val="1"/>
      <w:numFmt w:val="lowerLetter"/>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Letter"/>
      <w:lvlText w:val="%6."/>
      <w:lvlJc w:val="left"/>
      <w:pPr>
        <w:ind w:left="4320" w:hanging="360"/>
      </w:pPr>
      <w:rPr>
        <w:rFonts w:cs="Times New Roman"/>
      </w:rPr>
    </w:lvl>
    <w:lvl w:ilvl="6">
      <w:start w:val="1"/>
      <w:numFmt w:val="lowerLetter"/>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Letter"/>
      <w:lvlText w:val="%9."/>
      <w:lvlJc w:val="left"/>
      <w:pPr>
        <w:ind w:left="6480" w:hanging="360"/>
      </w:pPr>
      <w:rPr>
        <w:rFonts w:cs="Times New Roman"/>
      </w:rPr>
    </w:lvl>
  </w:abstractNum>
  <w:abstractNum w:abstractNumId="11" w15:restartNumberingAfterBreak="0">
    <w:nsid w:val="2BB3359E"/>
    <w:multiLevelType w:val="multilevel"/>
    <w:tmpl w:val="403EDA94"/>
    <w:lvl w:ilvl="0">
      <w:start w:val="2"/>
      <w:numFmt w:val="lowerRoman"/>
      <w:lvlText w:val="%1."/>
      <w:lvlJc w:val="right"/>
      <w:pPr>
        <w:ind w:left="720" w:hanging="360"/>
      </w:pPr>
      <w:rPr>
        <w:rFonts w:cs="Times New Roman"/>
      </w:rPr>
    </w:lvl>
    <w:lvl w:ilvl="1">
      <w:start w:val="1"/>
      <w:numFmt w:val="lowerRoman"/>
      <w:lvlText w:val="%2."/>
      <w:lvlJc w:val="right"/>
      <w:pPr>
        <w:ind w:left="1440" w:hanging="360"/>
      </w:pPr>
      <w:rPr>
        <w:rFonts w:cs="Times New Roman"/>
      </w:rPr>
    </w:lvl>
    <w:lvl w:ilvl="2">
      <w:start w:val="1"/>
      <w:numFmt w:val="lowerRoman"/>
      <w:lvlText w:val="%3."/>
      <w:lvlJc w:val="right"/>
      <w:pPr>
        <w:ind w:left="2160" w:hanging="360"/>
      </w:pPr>
      <w:rPr>
        <w:rFonts w:cs="Times New Roman"/>
      </w:rPr>
    </w:lvl>
    <w:lvl w:ilvl="3">
      <w:start w:val="1"/>
      <w:numFmt w:val="lowerRoman"/>
      <w:lvlText w:val="%4."/>
      <w:lvlJc w:val="right"/>
      <w:pPr>
        <w:ind w:left="2880" w:hanging="360"/>
      </w:pPr>
      <w:rPr>
        <w:rFonts w:cs="Times New Roman"/>
      </w:rPr>
    </w:lvl>
    <w:lvl w:ilvl="4">
      <w:start w:val="1"/>
      <w:numFmt w:val="lowerRoman"/>
      <w:lvlText w:val="%5."/>
      <w:lvlJc w:val="right"/>
      <w:pPr>
        <w:ind w:left="3600" w:hanging="360"/>
      </w:pPr>
      <w:rPr>
        <w:rFonts w:cs="Times New Roman"/>
      </w:rPr>
    </w:lvl>
    <w:lvl w:ilvl="5">
      <w:start w:val="1"/>
      <w:numFmt w:val="lowerRoman"/>
      <w:lvlText w:val="%6."/>
      <w:lvlJc w:val="right"/>
      <w:pPr>
        <w:ind w:left="4320" w:hanging="360"/>
      </w:pPr>
      <w:rPr>
        <w:rFonts w:cs="Times New Roman"/>
      </w:rPr>
    </w:lvl>
    <w:lvl w:ilvl="6">
      <w:start w:val="1"/>
      <w:numFmt w:val="lowerRoman"/>
      <w:lvlText w:val="%7."/>
      <w:lvlJc w:val="right"/>
      <w:pPr>
        <w:ind w:left="5040" w:hanging="360"/>
      </w:pPr>
      <w:rPr>
        <w:rFonts w:cs="Times New Roman"/>
      </w:rPr>
    </w:lvl>
    <w:lvl w:ilvl="7">
      <w:start w:val="1"/>
      <w:numFmt w:val="lowerRoman"/>
      <w:lvlText w:val="%8."/>
      <w:lvlJc w:val="right"/>
      <w:pPr>
        <w:ind w:left="5760" w:hanging="360"/>
      </w:pPr>
      <w:rPr>
        <w:rFonts w:cs="Times New Roman"/>
      </w:rPr>
    </w:lvl>
    <w:lvl w:ilvl="8">
      <w:start w:val="1"/>
      <w:numFmt w:val="lowerRoman"/>
      <w:lvlText w:val="%9."/>
      <w:lvlJc w:val="right"/>
      <w:pPr>
        <w:ind w:left="6480" w:hanging="360"/>
      </w:pPr>
      <w:rPr>
        <w:rFonts w:cs="Times New Roman"/>
      </w:rPr>
    </w:lvl>
  </w:abstractNum>
  <w:abstractNum w:abstractNumId="12" w15:restartNumberingAfterBreak="0">
    <w:nsid w:val="301976EF"/>
    <w:multiLevelType w:val="multilevel"/>
    <w:tmpl w:val="133E7EFC"/>
    <w:lvl w:ilvl="0">
      <w:start w:val="1"/>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13" w15:restartNumberingAfterBreak="0">
    <w:nsid w:val="323E304C"/>
    <w:multiLevelType w:val="multilevel"/>
    <w:tmpl w:val="23D8710E"/>
    <w:lvl w:ilvl="0">
      <w:start w:val="2"/>
      <w:numFmt w:val="lowerLetter"/>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Letter"/>
      <w:lvlText w:val="%3."/>
      <w:lvlJc w:val="left"/>
      <w:pPr>
        <w:ind w:left="2160" w:hanging="360"/>
      </w:pPr>
      <w:rPr>
        <w:rFonts w:cs="Times New Roman"/>
      </w:rPr>
    </w:lvl>
    <w:lvl w:ilvl="3">
      <w:start w:val="1"/>
      <w:numFmt w:val="lowerLetter"/>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Letter"/>
      <w:lvlText w:val="%6."/>
      <w:lvlJc w:val="left"/>
      <w:pPr>
        <w:ind w:left="4320" w:hanging="360"/>
      </w:pPr>
      <w:rPr>
        <w:rFonts w:cs="Times New Roman"/>
      </w:rPr>
    </w:lvl>
    <w:lvl w:ilvl="6">
      <w:start w:val="1"/>
      <w:numFmt w:val="lowerLetter"/>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Letter"/>
      <w:lvlText w:val="%9."/>
      <w:lvlJc w:val="left"/>
      <w:pPr>
        <w:ind w:left="6480" w:hanging="360"/>
      </w:pPr>
      <w:rPr>
        <w:rFonts w:cs="Times New Roman"/>
      </w:rPr>
    </w:lvl>
  </w:abstractNum>
  <w:abstractNum w:abstractNumId="14" w15:restartNumberingAfterBreak="0">
    <w:nsid w:val="33C538B9"/>
    <w:multiLevelType w:val="multilevel"/>
    <w:tmpl w:val="7F544E12"/>
    <w:lvl w:ilvl="0">
      <w:start w:val="1"/>
      <w:numFmt w:val="lowerRoman"/>
      <w:lvlText w:val="%1."/>
      <w:lvlJc w:val="right"/>
      <w:pPr>
        <w:ind w:left="720" w:hanging="360"/>
      </w:pPr>
      <w:rPr>
        <w:rFonts w:cs="Times New Roman"/>
      </w:rPr>
    </w:lvl>
    <w:lvl w:ilvl="1">
      <w:start w:val="1"/>
      <w:numFmt w:val="lowerRoman"/>
      <w:lvlText w:val="%2."/>
      <w:lvlJc w:val="right"/>
      <w:pPr>
        <w:ind w:left="1440" w:hanging="360"/>
      </w:pPr>
      <w:rPr>
        <w:rFonts w:cs="Times New Roman"/>
      </w:rPr>
    </w:lvl>
    <w:lvl w:ilvl="2">
      <w:start w:val="1"/>
      <w:numFmt w:val="lowerRoman"/>
      <w:lvlText w:val="%3."/>
      <w:lvlJc w:val="right"/>
      <w:pPr>
        <w:ind w:left="2160" w:hanging="360"/>
      </w:pPr>
      <w:rPr>
        <w:rFonts w:cs="Times New Roman"/>
      </w:rPr>
    </w:lvl>
    <w:lvl w:ilvl="3">
      <w:start w:val="1"/>
      <w:numFmt w:val="lowerRoman"/>
      <w:lvlText w:val="%4."/>
      <w:lvlJc w:val="right"/>
      <w:pPr>
        <w:ind w:left="2880" w:hanging="360"/>
      </w:pPr>
      <w:rPr>
        <w:rFonts w:cs="Times New Roman"/>
      </w:rPr>
    </w:lvl>
    <w:lvl w:ilvl="4">
      <w:start w:val="1"/>
      <w:numFmt w:val="lowerRoman"/>
      <w:lvlText w:val="%5."/>
      <w:lvlJc w:val="right"/>
      <w:pPr>
        <w:ind w:left="3600" w:hanging="360"/>
      </w:pPr>
      <w:rPr>
        <w:rFonts w:cs="Times New Roman"/>
      </w:rPr>
    </w:lvl>
    <w:lvl w:ilvl="5">
      <w:start w:val="1"/>
      <w:numFmt w:val="lowerRoman"/>
      <w:lvlText w:val="%6."/>
      <w:lvlJc w:val="right"/>
      <w:pPr>
        <w:ind w:left="4320" w:hanging="360"/>
      </w:pPr>
      <w:rPr>
        <w:rFonts w:cs="Times New Roman"/>
      </w:rPr>
    </w:lvl>
    <w:lvl w:ilvl="6">
      <w:start w:val="1"/>
      <w:numFmt w:val="lowerRoman"/>
      <w:lvlText w:val="%7."/>
      <w:lvlJc w:val="right"/>
      <w:pPr>
        <w:ind w:left="5040" w:hanging="360"/>
      </w:pPr>
      <w:rPr>
        <w:rFonts w:cs="Times New Roman"/>
      </w:rPr>
    </w:lvl>
    <w:lvl w:ilvl="7">
      <w:start w:val="1"/>
      <w:numFmt w:val="lowerRoman"/>
      <w:lvlText w:val="%8."/>
      <w:lvlJc w:val="right"/>
      <w:pPr>
        <w:ind w:left="5760" w:hanging="360"/>
      </w:pPr>
      <w:rPr>
        <w:rFonts w:cs="Times New Roman"/>
      </w:rPr>
    </w:lvl>
    <w:lvl w:ilvl="8">
      <w:start w:val="1"/>
      <w:numFmt w:val="lowerRoman"/>
      <w:lvlText w:val="%9."/>
      <w:lvlJc w:val="right"/>
      <w:pPr>
        <w:ind w:left="6480" w:hanging="360"/>
      </w:pPr>
      <w:rPr>
        <w:rFonts w:cs="Times New Roman"/>
      </w:rPr>
    </w:lvl>
  </w:abstractNum>
  <w:abstractNum w:abstractNumId="15" w15:restartNumberingAfterBreak="0">
    <w:nsid w:val="3BC126E5"/>
    <w:multiLevelType w:val="multilevel"/>
    <w:tmpl w:val="9FF04432"/>
    <w:lvl w:ilvl="0">
      <w:start w:val="3"/>
      <w:numFmt w:val="lowerLetter"/>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Letter"/>
      <w:lvlText w:val="%3."/>
      <w:lvlJc w:val="left"/>
      <w:pPr>
        <w:ind w:left="2160" w:hanging="360"/>
      </w:pPr>
      <w:rPr>
        <w:rFonts w:cs="Times New Roman"/>
      </w:rPr>
    </w:lvl>
    <w:lvl w:ilvl="3">
      <w:start w:val="1"/>
      <w:numFmt w:val="lowerLetter"/>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Letter"/>
      <w:lvlText w:val="%6."/>
      <w:lvlJc w:val="left"/>
      <w:pPr>
        <w:ind w:left="4320" w:hanging="360"/>
      </w:pPr>
      <w:rPr>
        <w:rFonts w:cs="Times New Roman"/>
      </w:rPr>
    </w:lvl>
    <w:lvl w:ilvl="6">
      <w:start w:val="1"/>
      <w:numFmt w:val="lowerLetter"/>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Letter"/>
      <w:lvlText w:val="%9."/>
      <w:lvlJc w:val="left"/>
      <w:pPr>
        <w:ind w:left="6480" w:hanging="360"/>
      </w:pPr>
      <w:rPr>
        <w:rFonts w:cs="Times New Roman"/>
      </w:rPr>
    </w:lvl>
  </w:abstractNum>
  <w:abstractNum w:abstractNumId="16" w15:restartNumberingAfterBreak="0">
    <w:nsid w:val="3BEE4E49"/>
    <w:multiLevelType w:val="multilevel"/>
    <w:tmpl w:val="2A8486A6"/>
    <w:lvl w:ilvl="0">
      <w:start w:val="1"/>
      <w:numFmt w:val="lowerLetter"/>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Letter"/>
      <w:lvlText w:val="%3."/>
      <w:lvlJc w:val="left"/>
      <w:pPr>
        <w:ind w:left="2160" w:hanging="360"/>
      </w:pPr>
      <w:rPr>
        <w:rFonts w:cs="Times New Roman"/>
      </w:rPr>
    </w:lvl>
    <w:lvl w:ilvl="3">
      <w:start w:val="1"/>
      <w:numFmt w:val="lowerLetter"/>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Letter"/>
      <w:lvlText w:val="%6."/>
      <w:lvlJc w:val="left"/>
      <w:pPr>
        <w:ind w:left="4320" w:hanging="360"/>
      </w:pPr>
      <w:rPr>
        <w:rFonts w:cs="Times New Roman"/>
      </w:rPr>
    </w:lvl>
    <w:lvl w:ilvl="6">
      <w:start w:val="1"/>
      <w:numFmt w:val="lowerLetter"/>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Letter"/>
      <w:lvlText w:val="%9."/>
      <w:lvlJc w:val="left"/>
      <w:pPr>
        <w:ind w:left="6480" w:hanging="360"/>
      </w:pPr>
      <w:rPr>
        <w:rFonts w:cs="Times New Roman"/>
      </w:rPr>
    </w:lvl>
  </w:abstractNum>
  <w:abstractNum w:abstractNumId="17" w15:restartNumberingAfterBreak="0">
    <w:nsid w:val="3F736BCB"/>
    <w:multiLevelType w:val="multilevel"/>
    <w:tmpl w:val="4C363776"/>
    <w:lvl w:ilvl="0">
      <w:start w:val="2"/>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18" w15:restartNumberingAfterBreak="0">
    <w:nsid w:val="3FBB387C"/>
    <w:multiLevelType w:val="multilevel"/>
    <w:tmpl w:val="7A34C43A"/>
    <w:lvl w:ilvl="0">
      <w:start w:val="1"/>
      <w:numFmt w:val="lowerRoman"/>
      <w:lvlText w:val="%1."/>
      <w:lvlJc w:val="right"/>
      <w:pPr>
        <w:ind w:left="720" w:hanging="360"/>
      </w:pPr>
      <w:rPr>
        <w:rFonts w:cs="Times New Roman"/>
      </w:rPr>
    </w:lvl>
    <w:lvl w:ilvl="1">
      <w:start w:val="1"/>
      <w:numFmt w:val="lowerRoman"/>
      <w:lvlText w:val="%2."/>
      <w:lvlJc w:val="right"/>
      <w:pPr>
        <w:ind w:left="1440" w:hanging="360"/>
      </w:pPr>
      <w:rPr>
        <w:rFonts w:cs="Times New Roman"/>
      </w:rPr>
    </w:lvl>
    <w:lvl w:ilvl="2">
      <w:start w:val="1"/>
      <w:numFmt w:val="lowerRoman"/>
      <w:lvlText w:val="%3."/>
      <w:lvlJc w:val="right"/>
      <w:pPr>
        <w:ind w:left="2160" w:hanging="360"/>
      </w:pPr>
      <w:rPr>
        <w:rFonts w:cs="Times New Roman"/>
      </w:rPr>
    </w:lvl>
    <w:lvl w:ilvl="3">
      <w:start w:val="1"/>
      <w:numFmt w:val="lowerRoman"/>
      <w:lvlText w:val="%4."/>
      <w:lvlJc w:val="right"/>
      <w:pPr>
        <w:ind w:left="2880" w:hanging="360"/>
      </w:pPr>
      <w:rPr>
        <w:rFonts w:cs="Times New Roman"/>
      </w:rPr>
    </w:lvl>
    <w:lvl w:ilvl="4">
      <w:start w:val="1"/>
      <w:numFmt w:val="lowerRoman"/>
      <w:lvlText w:val="%5."/>
      <w:lvlJc w:val="right"/>
      <w:pPr>
        <w:ind w:left="3600" w:hanging="360"/>
      </w:pPr>
      <w:rPr>
        <w:rFonts w:cs="Times New Roman"/>
      </w:rPr>
    </w:lvl>
    <w:lvl w:ilvl="5">
      <w:start w:val="1"/>
      <w:numFmt w:val="lowerRoman"/>
      <w:lvlText w:val="%6."/>
      <w:lvlJc w:val="right"/>
      <w:pPr>
        <w:ind w:left="4320" w:hanging="360"/>
      </w:pPr>
      <w:rPr>
        <w:rFonts w:cs="Times New Roman"/>
      </w:rPr>
    </w:lvl>
    <w:lvl w:ilvl="6">
      <w:start w:val="1"/>
      <w:numFmt w:val="lowerRoman"/>
      <w:lvlText w:val="%7."/>
      <w:lvlJc w:val="right"/>
      <w:pPr>
        <w:ind w:left="5040" w:hanging="360"/>
      </w:pPr>
      <w:rPr>
        <w:rFonts w:cs="Times New Roman"/>
      </w:rPr>
    </w:lvl>
    <w:lvl w:ilvl="7">
      <w:start w:val="1"/>
      <w:numFmt w:val="lowerRoman"/>
      <w:lvlText w:val="%8."/>
      <w:lvlJc w:val="right"/>
      <w:pPr>
        <w:ind w:left="5760" w:hanging="360"/>
      </w:pPr>
      <w:rPr>
        <w:rFonts w:cs="Times New Roman"/>
      </w:rPr>
    </w:lvl>
    <w:lvl w:ilvl="8">
      <w:start w:val="1"/>
      <w:numFmt w:val="lowerRoman"/>
      <w:lvlText w:val="%9."/>
      <w:lvlJc w:val="right"/>
      <w:pPr>
        <w:ind w:left="6480" w:hanging="360"/>
      </w:pPr>
      <w:rPr>
        <w:rFonts w:cs="Times New Roman"/>
      </w:rPr>
    </w:lvl>
  </w:abstractNum>
  <w:abstractNum w:abstractNumId="19" w15:restartNumberingAfterBreak="0">
    <w:nsid w:val="40CB7F03"/>
    <w:multiLevelType w:val="multilevel"/>
    <w:tmpl w:val="BE927076"/>
    <w:lvl w:ilvl="0">
      <w:start w:val="1"/>
      <w:numFmt w:val="decimal"/>
      <w:lvlText w:val="%1."/>
      <w:lvlJc w:val="left"/>
      <w:pPr>
        <w:ind w:left="720" w:hanging="360"/>
      </w:pPr>
      <w:rPr>
        <w:rFonts w:ascii="Arial" w:hAnsi="Arial" w:cs="Times New Roman" w:hint="default"/>
        <w:sz w:val="28"/>
        <w:szCs w:val="28"/>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0" w15:restartNumberingAfterBreak="0">
    <w:nsid w:val="458D72A7"/>
    <w:multiLevelType w:val="multilevel"/>
    <w:tmpl w:val="733C3454"/>
    <w:lvl w:ilvl="0">
      <w:start w:val="1"/>
      <w:numFmt w:val="lowerLetter"/>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Letter"/>
      <w:lvlText w:val="%3."/>
      <w:lvlJc w:val="left"/>
      <w:pPr>
        <w:ind w:left="2160" w:hanging="360"/>
      </w:pPr>
      <w:rPr>
        <w:rFonts w:cs="Times New Roman"/>
      </w:rPr>
    </w:lvl>
    <w:lvl w:ilvl="3">
      <w:start w:val="1"/>
      <w:numFmt w:val="lowerLetter"/>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Letter"/>
      <w:lvlText w:val="%6."/>
      <w:lvlJc w:val="left"/>
      <w:pPr>
        <w:ind w:left="4320" w:hanging="360"/>
      </w:pPr>
      <w:rPr>
        <w:rFonts w:cs="Times New Roman"/>
      </w:rPr>
    </w:lvl>
    <w:lvl w:ilvl="6">
      <w:start w:val="1"/>
      <w:numFmt w:val="lowerLetter"/>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Letter"/>
      <w:lvlText w:val="%9."/>
      <w:lvlJc w:val="left"/>
      <w:pPr>
        <w:ind w:left="6480" w:hanging="360"/>
      </w:pPr>
      <w:rPr>
        <w:rFonts w:cs="Times New Roman"/>
      </w:rPr>
    </w:lvl>
  </w:abstractNum>
  <w:abstractNum w:abstractNumId="21" w15:restartNumberingAfterBreak="0">
    <w:nsid w:val="4BB23AFF"/>
    <w:multiLevelType w:val="multilevel"/>
    <w:tmpl w:val="FBAEE8B0"/>
    <w:lvl w:ilvl="0">
      <w:start w:val="1"/>
      <w:numFmt w:val="lowerRoman"/>
      <w:lvlText w:val="%1."/>
      <w:lvlJc w:val="right"/>
      <w:pPr>
        <w:ind w:left="720" w:hanging="360"/>
      </w:pPr>
      <w:rPr>
        <w:rFonts w:cs="Times New Roman"/>
      </w:rPr>
    </w:lvl>
    <w:lvl w:ilvl="1">
      <w:start w:val="1"/>
      <w:numFmt w:val="lowerRoman"/>
      <w:lvlText w:val="%2."/>
      <w:lvlJc w:val="right"/>
      <w:pPr>
        <w:ind w:left="1440" w:hanging="360"/>
      </w:pPr>
      <w:rPr>
        <w:rFonts w:cs="Times New Roman"/>
      </w:rPr>
    </w:lvl>
    <w:lvl w:ilvl="2">
      <w:start w:val="1"/>
      <w:numFmt w:val="lowerRoman"/>
      <w:lvlText w:val="%3."/>
      <w:lvlJc w:val="right"/>
      <w:pPr>
        <w:ind w:left="2160" w:hanging="360"/>
      </w:pPr>
      <w:rPr>
        <w:rFonts w:cs="Times New Roman"/>
      </w:rPr>
    </w:lvl>
    <w:lvl w:ilvl="3">
      <w:start w:val="1"/>
      <w:numFmt w:val="lowerRoman"/>
      <w:lvlText w:val="%4."/>
      <w:lvlJc w:val="right"/>
      <w:pPr>
        <w:ind w:left="2880" w:hanging="360"/>
      </w:pPr>
      <w:rPr>
        <w:rFonts w:cs="Times New Roman"/>
      </w:rPr>
    </w:lvl>
    <w:lvl w:ilvl="4">
      <w:start w:val="1"/>
      <w:numFmt w:val="lowerRoman"/>
      <w:lvlText w:val="%5."/>
      <w:lvlJc w:val="right"/>
      <w:pPr>
        <w:ind w:left="3600" w:hanging="360"/>
      </w:pPr>
      <w:rPr>
        <w:rFonts w:cs="Times New Roman"/>
      </w:rPr>
    </w:lvl>
    <w:lvl w:ilvl="5">
      <w:start w:val="1"/>
      <w:numFmt w:val="lowerRoman"/>
      <w:lvlText w:val="%6."/>
      <w:lvlJc w:val="right"/>
      <w:pPr>
        <w:ind w:left="4320" w:hanging="360"/>
      </w:pPr>
      <w:rPr>
        <w:rFonts w:cs="Times New Roman"/>
      </w:rPr>
    </w:lvl>
    <w:lvl w:ilvl="6">
      <w:start w:val="1"/>
      <w:numFmt w:val="lowerRoman"/>
      <w:lvlText w:val="%7."/>
      <w:lvlJc w:val="right"/>
      <w:pPr>
        <w:ind w:left="5040" w:hanging="360"/>
      </w:pPr>
      <w:rPr>
        <w:rFonts w:cs="Times New Roman"/>
      </w:rPr>
    </w:lvl>
    <w:lvl w:ilvl="7">
      <w:start w:val="1"/>
      <w:numFmt w:val="lowerRoman"/>
      <w:lvlText w:val="%8."/>
      <w:lvlJc w:val="right"/>
      <w:pPr>
        <w:ind w:left="5760" w:hanging="360"/>
      </w:pPr>
      <w:rPr>
        <w:rFonts w:cs="Times New Roman"/>
      </w:rPr>
    </w:lvl>
    <w:lvl w:ilvl="8">
      <w:start w:val="1"/>
      <w:numFmt w:val="lowerRoman"/>
      <w:lvlText w:val="%9."/>
      <w:lvlJc w:val="right"/>
      <w:pPr>
        <w:ind w:left="6480" w:hanging="360"/>
      </w:pPr>
      <w:rPr>
        <w:rFonts w:cs="Times New Roman"/>
      </w:rPr>
    </w:lvl>
  </w:abstractNum>
  <w:abstractNum w:abstractNumId="22" w15:restartNumberingAfterBreak="0">
    <w:nsid w:val="51C538E7"/>
    <w:multiLevelType w:val="hybridMultilevel"/>
    <w:tmpl w:val="82D49B3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58E47C7E"/>
    <w:multiLevelType w:val="hybridMultilevel"/>
    <w:tmpl w:val="2EB2E0BC"/>
    <w:lvl w:ilvl="0" w:tplc="4AE489C6">
      <w:start w:val="1"/>
      <w:numFmt w:val="lowerLetter"/>
      <w:lvlText w:val="(%1)"/>
      <w:lvlJc w:val="left"/>
      <w:pPr>
        <w:ind w:left="2960" w:hanging="360"/>
      </w:pPr>
      <w:rPr>
        <w:rFonts w:cs="Times New Roman" w:hint="default"/>
        <w:sz w:val="20"/>
        <w:szCs w:val="20"/>
      </w:rPr>
    </w:lvl>
    <w:lvl w:ilvl="1" w:tplc="04090019" w:tentative="1">
      <w:start w:val="1"/>
      <w:numFmt w:val="lowerLetter"/>
      <w:lvlText w:val="%2."/>
      <w:lvlJc w:val="left"/>
      <w:pPr>
        <w:ind w:left="3680" w:hanging="360"/>
      </w:pPr>
      <w:rPr>
        <w:rFonts w:cs="Times New Roman"/>
      </w:rPr>
    </w:lvl>
    <w:lvl w:ilvl="2" w:tplc="0409001B" w:tentative="1">
      <w:start w:val="1"/>
      <w:numFmt w:val="lowerRoman"/>
      <w:lvlText w:val="%3."/>
      <w:lvlJc w:val="right"/>
      <w:pPr>
        <w:ind w:left="4400" w:hanging="180"/>
      </w:pPr>
      <w:rPr>
        <w:rFonts w:cs="Times New Roman"/>
      </w:rPr>
    </w:lvl>
    <w:lvl w:ilvl="3" w:tplc="0409000F" w:tentative="1">
      <w:start w:val="1"/>
      <w:numFmt w:val="decimal"/>
      <w:lvlText w:val="%4."/>
      <w:lvlJc w:val="left"/>
      <w:pPr>
        <w:ind w:left="5120" w:hanging="360"/>
      </w:pPr>
      <w:rPr>
        <w:rFonts w:cs="Times New Roman"/>
      </w:rPr>
    </w:lvl>
    <w:lvl w:ilvl="4" w:tplc="04090019" w:tentative="1">
      <w:start w:val="1"/>
      <w:numFmt w:val="lowerLetter"/>
      <w:lvlText w:val="%5."/>
      <w:lvlJc w:val="left"/>
      <w:pPr>
        <w:ind w:left="5840" w:hanging="360"/>
      </w:pPr>
      <w:rPr>
        <w:rFonts w:cs="Times New Roman"/>
      </w:rPr>
    </w:lvl>
    <w:lvl w:ilvl="5" w:tplc="0409001B" w:tentative="1">
      <w:start w:val="1"/>
      <w:numFmt w:val="lowerRoman"/>
      <w:lvlText w:val="%6."/>
      <w:lvlJc w:val="right"/>
      <w:pPr>
        <w:ind w:left="6560" w:hanging="180"/>
      </w:pPr>
      <w:rPr>
        <w:rFonts w:cs="Times New Roman"/>
      </w:rPr>
    </w:lvl>
    <w:lvl w:ilvl="6" w:tplc="0409000F" w:tentative="1">
      <w:start w:val="1"/>
      <w:numFmt w:val="decimal"/>
      <w:lvlText w:val="%7."/>
      <w:lvlJc w:val="left"/>
      <w:pPr>
        <w:ind w:left="7280" w:hanging="360"/>
      </w:pPr>
      <w:rPr>
        <w:rFonts w:cs="Times New Roman"/>
      </w:rPr>
    </w:lvl>
    <w:lvl w:ilvl="7" w:tplc="04090019" w:tentative="1">
      <w:start w:val="1"/>
      <w:numFmt w:val="lowerLetter"/>
      <w:lvlText w:val="%8."/>
      <w:lvlJc w:val="left"/>
      <w:pPr>
        <w:ind w:left="8000" w:hanging="360"/>
      </w:pPr>
      <w:rPr>
        <w:rFonts w:cs="Times New Roman"/>
      </w:rPr>
    </w:lvl>
    <w:lvl w:ilvl="8" w:tplc="0409001B" w:tentative="1">
      <w:start w:val="1"/>
      <w:numFmt w:val="lowerRoman"/>
      <w:lvlText w:val="%9."/>
      <w:lvlJc w:val="right"/>
      <w:pPr>
        <w:ind w:left="8720" w:hanging="180"/>
      </w:pPr>
      <w:rPr>
        <w:rFonts w:cs="Times New Roman"/>
      </w:rPr>
    </w:lvl>
  </w:abstractNum>
  <w:abstractNum w:abstractNumId="24" w15:restartNumberingAfterBreak="0">
    <w:nsid w:val="5C8E6E35"/>
    <w:multiLevelType w:val="hybridMultilevel"/>
    <w:tmpl w:val="0ADE2310"/>
    <w:lvl w:ilvl="0" w:tplc="F730993C">
      <w:start w:val="1"/>
      <w:numFmt w:val="lowerLetter"/>
      <w:lvlText w:val="(%1)"/>
      <w:lvlJc w:val="left"/>
      <w:pPr>
        <w:ind w:left="7020" w:hanging="4560"/>
      </w:pPr>
      <w:rPr>
        <w:rFonts w:cs="Times New Roman" w:hint="default"/>
      </w:rPr>
    </w:lvl>
    <w:lvl w:ilvl="1" w:tplc="04090019" w:tentative="1">
      <w:start w:val="1"/>
      <w:numFmt w:val="lowerLetter"/>
      <w:lvlText w:val="%2."/>
      <w:lvlJc w:val="left"/>
      <w:pPr>
        <w:ind w:left="3540" w:hanging="360"/>
      </w:pPr>
      <w:rPr>
        <w:rFonts w:cs="Times New Roman"/>
      </w:rPr>
    </w:lvl>
    <w:lvl w:ilvl="2" w:tplc="0409001B" w:tentative="1">
      <w:start w:val="1"/>
      <w:numFmt w:val="lowerRoman"/>
      <w:lvlText w:val="%3."/>
      <w:lvlJc w:val="right"/>
      <w:pPr>
        <w:ind w:left="4260" w:hanging="180"/>
      </w:pPr>
      <w:rPr>
        <w:rFonts w:cs="Times New Roman"/>
      </w:rPr>
    </w:lvl>
    <w:lvl w:ilvl="3" w:tplc="0409000F" w:tentative="1">
      <w:start w:val="1"/>
      <w:numFmt w:val="decimal"/>
      <w:lvlText w:val="%4."/>
      <w:lvlJc w:val="left"/>
      <w:pPr>
        <w:ind w:left="4980" w:hanging="360"/>
      </w:pPr>
      <w:rPr>
        <w:rFonts w:cs="Times New Roman"/>
      </w:rPr>
    </w:lvl>
    <w:lvl w:ilvl="4" w:tplc="04090019" w:tentative="1">
      <w:start w:val="1"/>
      <w:numFmt w:val="lowerLetter"/>
      <w:lvlText w:val="%5."/>
      <w:lvlJc w:val="left"/>
      <w:pPr>
        <w:ind w:left="5700" w:hanging="360"/>
      </w:pPr>
      <w:rPr>
        <w:rFonts w:cs="Times New Roman"/>
      </w:rPr>
    </w:lvl>
    <w:lvl w:ilvl="5" w:tplc="0409001B" w:tentative="1">
      <w:start w:val="1"/>
      <w:numFmt w:val="lowerRoman"/>
      <w:lvlText w:val="%6."/>
      <w:lvlJc w:val="right"/>
      <w:pPr>
        <w:ind w:left="6420" w:hanging="180"/>
      </w:pPr>
      <w:rPr>
        <w:rFonts w:cs="Times New Roman"/>
      </w:rPr>
    </w:lvl>
    <w:lvl w:ilvl="6" w:tplc="0409000F" w:tentative="1">
      <w:start w:val="1"/>
      <w:numFmt w:val="decimal"/>
      <w:lvlText w:val="%7."/>
      <w:lvlJc w:val="left"/>
      <w:pPr>
        <w:ind w:left="7140" w:hanging="360"/>
      </w:pPr>
      <w:rPr>
        <w:rFonts w:cs="Times New Roman"/>
      </w:rPr>
    </w:lvl>
    <w:lvl w:ilvl="7" w:tplc="04090019" w:tentative="1">
      <w:start w:val="1"/>
      <w:numFmt w:val="lowerLetter"/>
      <w:lvlText w:val="%8."/>
      <w:lvlJc w:val="left"/>
      <w:pPr>
        <w:ind w:left="7860" w:hanging="360"/>
      </w:pPr>
      <w:rPr>
        <w:rFonts w:cs="Times New Roman"/>
      </w:rPr>
    </w:lvl>
    <w:lvl w:ilvl="8" w:tplc="0409001B" w:tentative="1">
      <w:start w:val="1"/>
      <w:numFmt w:val="lowerRoman"/>
      <w:lvlText w:val="%9."/>
      <w:lvlJc w:val="right"/>
      <w:pPr>
        <w:ind w:left="8580" w:hanging="180"/>
      </w:pPr>
      <w:rPr>
        <w:rFonts w:cs="Times New Roman"/>
      </w:rPr>
    </w:lvl>
  </w:abstractNum>
  <w:abstractNum w:abstractNumId="25" w15:restartNumberingAfterBreak="0">
    <w:nsid w:val="638B1D0B"/>
    <w:multiLevelType w:val="multilevel"/>
    <w:tmpl w:val="CB66B1D8"/>
    <w:lvl w:ilvl="0">
      <w:start w:val="1"/>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26" w15:restartNumberingAfterBreak="0">
    <w:nsid w:val="6E7729CB"/>
    <w:multiLevelType w:val="multilevel"/>
    <w:tmpl w:val="2D488DAA"/>
    <w:lvl w:ilvl="0">
      <w:start w:val="3"/>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27" w15:restartNumberingAfterBreak="0">
    <w:nsid w:val="6E9C1B18"/>
    <w:multiLevelType w:val="multilevel"/>
    <w:tmpl w:val="E2741AB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8" w15:restartNumberingAfterBreak="0">
    <w:nsid w:val="72376873"/>
    <w:multiLevelType w:val="multilevel"/>
    <w:tmpl w:val="C23033D4"/>
    <w:lvl w:ilvl="0">
      <w:start w:val="2"/>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29" w15:restartNumberingAfterBreak="0">
    <w:nsid w:val="751C08BC"/>
    <w:multiLevelType w:val="multilevel"/>
    <w:tmpl w:val="9F46D49E"/>
    <w:lvl w:ilvl="0">
      <w:start w:val="3"/>
      <w:numFmt w:val="lowerRoman"/>
      <w:lvlText w:val="%1."/>
      <w:lvlJc w:val="right"/>
      <w:pPr>
        <w:ind w:left="720" w:hanging="360"/>
      </w:pPr>
      <w:rPr>
        <w:rFonts w:cs="Times New Roman"/>
      </w:rPr>
    </w:lvl>
    <w:lvl w:ilvl="1">
      <w:start w:val="1"/>
      <w:numFmt w:val="lowerRoman"/>
      <w:lvlText w:val="%2."/>
      <w:lvlJc w:val="right"/>
      <w:pPr>
        <w:ind w:left="1440" w:hanging="360"/>
      </w:pPr>
      <w:rPr>
        <w:rFonts w:cs="Times New Roman"/>
      </w:rPr>
    </w:lvl>
    <w:lvl w:ilvl="2">
      <w:start w:val="1"/>
      <w:numFmt w:val="lowerRoman"/>
      <w:lvlText w:val="%3."/>
      <w:lvlJc w:val="right"/>
      <w:pPr>
        <w:ind w:left="2160" w:hanging="360"/>
      </w:pPr>
      <w:rPr>
        <w:rFonts w:cs="Times New Roman"/>
      </w:rPr>
    </w:lvl>
    <w:lvl w:ilvl="3">
      <w:start w:val="1"/>
      <w:numFmt w:val="lowerRoman"/>
      <w:lvlText w:val="%4."/>
      <w:lvlJc w:val="right"/>
      <w:pPr>
        <w:ind w:left="2880" w:hanging="360"/>
      </w:pPr>
      <w:rPr>
        <w:rFonts w:cs="Times New Roman"/>
      </w:rPr>
    </w:lvl>
    <w:lvl w:ilvl="4">
      <w:start w:val="1"/>
      <w:numFmt w:val="lowerRoman"/>
      <w:lvlText w:val="%5."/>
      <w:lvlJc w:val="right"/>
      <w:pPr>
        <w:ind w:left="3600" w:hanging="360"/>
      </w:pPr>
      <w:rPr>
        <w:rFonts w:cs="Times New Roman"/>
      </w:rPr>
    </w:lvl>
    <w:lvl w:ilvl="5">
      <w:start w:val="1"/>
      <w:numFmt w:val="lowerRoman"/>
      <w:lvlText w:val="%6."/>
      <w:lvlJc w:val="right"/>
      <w:pPr>
        <w:ind w:left="4320" w:hanging="360"/>
      </w:pPr>
      <w:rPr>
        <w:rFonts w:cs="Times New Roman"/>
      </w:rPr>
    </w:lvl>
    <w:lvl w:ilvl="6">
      <w:start w:val="1"/>
      <w:numFmt w:val="lowerRoman"/>
      <w:lvlText w:val="%7."/>
      <w:lvlJc w:val="right"/>
      <w:pPr>
        <w:ind w:left="5040" w:hanging="360"/>
      </w:pPr>
      <w:rPr>
        <w:rFonts w:cs="Times New Roman"/>
      </w:rPr>
    </w:lvl>
    <w:lvl w:ilvl="7">
      <w:start w:val="1"/>
      <w:numFmt w:val="lowerRoman"/>
      <w:lvlText w:val="%8."/>
      <w:lvlJc w:val="right"/>
      <w:pPr>
        <w:ind w:left="5760" w:hanging="360"/>
      </w:pPr>
      <w:rPr>
        <w:rFonts w:cs="Times New Roman"/>
      </w:rPr>
    </w:lvl>
    <w:lvl w:ilvl="8">
      <w:start w:val="1"/>
      <w:numFmt w:val="lowerRoman"/>
      <w:lvlText w:val="%9."/>
      <w:lvlJc w:val="right"/>
      <w:pPr>
        <w:ind w:left="6480" w:hanging="360"/>
      </w:pPr>
      <w:rPr>
        <w:rFonts w:cs="Times New Roman"/>
      </w:rPr>
    </w:lvl>
  </w:abstractNum>
  <w:abstractNum w:abstractNumId="30" w15:restartNumberingAfterBreak="0">
    <w:nsid w:val="779E2EF3"/>
    <w:multiLevelType w:val="multilevel"/>
    <w:tmpl w:val="AA4EECEA"/>
    <w:lvl w:ilvl="0">
      <w:start w:val="1"/>
      <w:numFmt w:val="lowerLetter"/>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Letter"/>
      <w:lvlText w:val="%3."/>
      <w:lvlJc w:val="left"/>
      <w:pPr>
        <w:ind w:left="2160" w:hanging="360"/>
      </w:pPr>
      <w:rPr>
        <w:rFonts w:cs="Times New Roman"/>
      </w:rPr>
    </w:lvl>
    <w:lvl w:ilvl="3">
      <w:start w:val="1"/>
      <w:numFmt w:val="lowerLetter"/>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Letter"/>
      <w:lvlText w:val="%6."/>
      <w:lvlJc w:val="left"/>
      <w:pPr>
        <w:ind w:left="4320" w:hanging="360"/>
      </w:pPr>
      <w:rPr>
        <w:rFonts w:cs="Times New Roman"/>
      </w:rPr>
    </w:lvl>
    <w:lvl w:ilvl="6">
      <w:start w:val="1"/>
      <w:numFmt w:val="lowerLetter"/>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Letter"/>
      <w:lvlText w:val="%9."/>
      <w:lvlJc w:val="left"/>
      <w:pPr>
        <w:ind w:left="6480" w:hanging="360"/>
      </w:pPr>
      <w:rPr>
        <w:rFonts w:cs="Times New Roman"/>
      </w:rPr>
    </w:lvl>
  </w:abstractNum>
  <w:abstractNum w:abstractNumId="31" w15:restartNumberingAfterBreak="0">
    <w:nsid w:val="77A95AF7"/>
    <w:multiLevelType w:val="multilevel"/>
    <w:tmpl w:val="1206D76C"/>
    <w:lvl w:ilvl="0">
      <w:start w:val="1"/>
      <w:numFmt w:val="lowerLetter"/>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Letter"/>
      <w:lvlText w:val="%3."/>
      <w:lvlJc w:val="left"/>
      <w:pPr>
        <w:ind w:left="2160" w:hanging="360"/>
      </w:pPr>
      <w:rPr>
        <w:rFonts w:cs="Times New Roman"/>
      </w:rPr>
    </w:lvl>
    <w:lvl w:ilvl="3">
      <w:start w:val="1"/>
      <w:numFmt w:val="lowerLetter"/>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Letter"/>
      <w:lvlText w:val="%6."/>
      <w:lvlJc w:val="left"/>
      <w:pPr>
        <w:ind w:left="4320" w:hanging="360"/>
      </w:pPr>
      <w:rPr>
        <w:rFonts w:cs="Times New Roman"/>
      </w:rPr>
    </w:lvl>
    <w:lvl w:ilvl="6">
      <w:start w:val="1"/>
      <w:numFmt w:val="lowerLetter"/>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Letter"/>
      <w:lvlText w:val="%9."/>
      <w:lvlJc w:val="left"/>
      <w:pPr>
        <w:ind w:left="6480" w:hanging="360"/>
      </w:pPr>
      <w:rPr>
        <w:rFonts w:cs="Times New Roman"/>
      </w:rPr>
    </w:lvl>
  </w:abstractNum>
  <w:abstractNum w:abstractNumId="32" w15:restartNumberingAfterBreak="0">
    <w:nsid w:val="7B107988"/>
    <w:multiLevelType w:val="multilevel"/>
    <w:tmpl w:val="2ED4F310"/>
    <w:lvl w:ilvl="0">
      <w:start w:val="2"/>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num w:numId="1">
    <w:abstractNumId w:val="8"/>
  </w:num>
  <w:num w:numId="2">
    <w:abstractNumId w:val="25"/>
  </w:num>
  <w:num w:numId="3">
    <w:abstractNumId w:val="4"/>
  </w:num>
  <w:num w:numId="4">
    <w:abstractNumId w:val="17"/>
  </w:num>
  <w:num w:numId="5">
    <w:abstractNumId w:val="6"/>
  </w:num>
  <w:num w:numId="6">
    <w:abstractNumId w:val="20"/>
  </w:num>
  <w:num w:numId="7">
    <w:abstractNumId w:val="29"/>
  </w:num>
  <w:num w:numId="8">
    <w:abstractNumId w:val="14"/>
  </w:num>
  <w:num w:numId="9">
    <w:abstractNumId w:val="13"/>
  </w:num>
  <w:num w:numId="10">
    <w:abstractNumId w:val="18"/>
  </w:num>
  <w:num w:numId="11">
    <w:abstractNumId w:val="11"/>
  </w:num>
  <w:num w:numId="12">
    <w:abstractNumId w:val="0"/>
  </w:num>
  <w:num w:numId="13">
    <w:abstractNumId w:val="32"/>
  </w:num>
  <w:num w:numId="14">
    <w:abstractNumId w:val="12"/>
  </w:num>
  <w:num w:numId="15">
    <w:abstractNumId w:val="3"/>
  </w:num>
  <w:num w:numId="16">
    <w:abstractNumId w:val="16"/>
  </w:num>
  <w:num w:numId="17">
    <w:abstractNumId w:val="1"/>
  </w:num>
  <w:num w:numId="18">
    <w:abstractNumId w:val="10"/>
  </w:num>
  <w:num w:numId="19">
    <w:abstractNumId w:val="26"/>
  </w:num>
  <w:num w:numId="20">
    <w:abstractNumId w:val="7"/>
  </w:num>
  <w:num w:numId="21">
    <w:abstractNumId w:val="30"/>
  </w:num>
  <w:num w:numId="22">
    <w:abstractNumId w:val="15"/>
  </w:num>
  <w:num w:numId="23">
    <w:abstractNumId w:val="21"/>
  </w:num>
  <w:num w:numId="24">
    <w:abstractNumId w:val="5"/>
  </w:num>
  <w:num w:numId="25">
    <w:abstractNumId w:val="31"/>
  </w:num>
  <w:num w:numId="26">
    <w:abstractNumId w:val="28"/>
  </w:num>
  <w:num w:numId="27">
    <w:abstractNumId w:val="24"/>
  </w:num>
  <w:num w:numId="28">
    <w:abstractNumId w:val="22"/>
  </w:num>
  <w:num w:numId="29">
    <w:abstractNumId w:val="19"/>
  </w:num>
  <w:num w:numId="30">
    <w:abstractNumId w:val="9"/>
  </w:num>
  <w:num w:numId="31">
    <w:abstractNumId w:val="27"/>
  </w:num>
  <w:num w:numId="32">
    <w:abstractNumId w:val="2"/>
  </w:num>
  <w:num w:numId="3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25E8"/>
    <w:rsid w:val="000007A9"/>
    <w:rsid w:val="0000123E"/>
    <w:rsid w:val="000053AC"/>
    <w:rsid w:val="00005675"/>
    <w:rsid w:val="00020689"/>
    <w:rsid w:val="00027B6D"/>
    <w:rsid w:val="00035063"/>
    <w:rsid w:val="00036EA4"/>
    <w:rsid w:val="00037A96"/>
    <w:rsid w:val="00040436"/>
    <w:rsid w:val="000410C9"/>
    <w:rsid w:val="00043235"/>
    <w:rsid w:val="000460FE"/>
    <w:rsid w:val="00047C36"/>
    <w:rsid w:val="0005094A"/>
    <w:rsid w:val="0005420D"/>
    <w:rsid w:val="00056F7C"/>
    <w:rsid w:val="00061AAE"/>
    <w:rsid w:val="00062B84"/>
    <w:rsid w:val="00062ED6"/>
    <w:rsid w:val="0006679B"/>
    <w:rsid w:val="00071A2D"/>
    <w:rsid w:val="00073C9B"/>
    <w:rsid w:val="00074F61"/>
    <w:rsid w:val="00075526"/>
    <w:rsid w:val="00083FC4"/>
    <w:rsid w:val="000845DC"/>
    <w:rsid w:val="00085771"/>
    <w:rsid w:val="000906CE"/>
    <w:rsid w:val="00090F3A"/>
    <w:rsid w:val="00092F48"/>
    <w:rsid w:val="00096CC8"/>
    <w:rsid w:val="000A0C0D"/>
    <w:rsid w:val="000A264C"/>
    <w:rsid w:val="000A4940"/>
    <w:rsid w:val="000A651C"/>
    <w:rsid w:val="000B188A"/>
    <w:rsid w:val="000E17FF"/>
    <w:rsid w:val="000E2E7E"/>
    <w:rsid w:val="000E3E5B"/>
    <w:rsid w:val="000E7200"/>
    <w:rsid w:val="000F68BB"/>
    <w:rsid w:val="000F7E5F"/>
    <w:rsid w:val="0010042C"/>
    <w:rsid w:val="00100E2B"/>
    <w:rsid w:val="001010BD"/>
    <w:rsid w:val="00102D5E"/>
    <w:rsid w:val="00106A3D"/>
    <w:rsid w:val="0011373D"/>
    <w:rsid w:val="001178DC"/>
    <w:rsid w:val="001207E8"/>
    <w:rsid w:val="00121B36"/>
    <w:rsid w:val="00132169"/>
    <w:rsid w:val="00136BC9"/>
    <w:rsid w:val="001378C8"/>
    <w:rsid w:val="00140499"/>
    <w:rsid w:val="00142B60"/>
    <w:rsid w:val="00146710"/>
    <w:rsid w:val="00146DAC"/>
    <w:rsid w:val="00146DD5"/>
    <w:rsid w:val="00156B92"/>
    <w:rsid w:val="0016351E"/>
    <w:rsid w:val="00172604"/>
    <w:rsid w:val="00173325"/>
    <w:rsid w:val="00174EBC"/>
    <w:rsid w:val="00175D75"/>
    <w:rsid w:val="00187500"/>
    <w:rsid w:val="00192F4D"/>
    <w:rsid w:val="00194C22"/>
    <w:rsid w:val="001A0743"/>
    <w:rsid w:val="001C062B"/>
    <w:rsid w:val="001C190A"/>
    <w:rsid w:val="001C2C15"/>
    <w:rsid w:val="001C49B0"/>
    <w:rsid w:val="001D55EF"/>
    <w:rsid w:val="001D5EFD"/>
    <w:rsid w:val="001D789D"/>
    <w:rsid w:val="001E52B1"/>
    <w:rsid w:val="001E5667"/>
    <w:rsid w:val="001E7AC3"/>
    <w:rsid w:val="001F0238"/>
    <w:rsid w:val="001F36BC"/>
    <w:rsid w:val="001F7DF0"/>
    <w:rsid w:val="00202B41"/>
    <w:rsid w:val="00203CFC"/>
    <w:rsid w:val="002056CD"/>
    <w:rsid w:val="00207C74"/>
    <w:rsid w:val="00207CA9"/>
    <w:rsid w:val="00210909"/>
    <w:rsid w:val="00222C07"/>
    <w:rsid w:val="002246C3"/>
    <w:rsid w:val="002249C7"/>
    <w:rsid w:val="002418B7"/>
    <w:rsid w:val="00241FD4"/>
    <w:rsid w:val="00244804"/>
    <w:rsid w:val="00245AA1"/>
    <w:rsid w:val="00246B0F"/>
    <w:rsid w:val="00246F51"/>
    <w:rsid w:val="0024777D"/>
    <w:rsid w:val="00257B7F"/>
    <w:rsid w:val="00263404"/>
    <w:rsid w:val="002637E1"/>
    <w:rsid w:val="00274D3C"/>
    <w:rsid w:val="00277978"/>
    <w:rsid w:val="00281B00"/>
    <w:rsid w:val="00292C36"/>
    <w:rsid w:val="002947EC"/>
    <w:rsid w:val="002952CF"/>
    <w:rsid w:val="002961EE"/>
    <w:rsid w:val="002966FB"/>
    <w:rsid w:val="0029671A"/>
    <w:rsid w:val="002A580D"/>
    <w:rsid w:val="002A588B"/>
    <w:rsid w:val="002B526D"/>
    <w:rsid w:val="002B559B"/>
    <w:rsid w:val="002C2878"/>
    <w:rsid w:val="002D10F6"/>
    <w:rsid w:val="002D3A75"/>
    <w:rsid w:val="002D4177"/>
    <w:rsid w:val="002D6BF2"/>
    <w:rsid w:val="002D71A1"/>
    <w:rsid w:val="002E16A5"/>
    <w:rsid w:val="002E192C"/>
    <w:rsid w:val="002F026B"/>
    <w:rsid w:val="002F3865"/>
    <w:rsid w:val="002F66F4"/>
    <w:rsid w:val="00301FB5"/>
    <w:rsid w:val="003038F0"/>
    <w:rsid w:val="0030619A"/>
    <w:rsid w:val="00306827"/>
    <w:rsid w:val="003171CF"/>
    <w:rsid w:val="0032010A"/>
    <w:rsid w:val="00324C9A"/>
    <w:rsid w:val="00326673"/>
    <w:rsid w:val="003313DF"/>
    <w:rsid w:val="003355B8"/>
    <w:rsid w:val="00340373"/>
    <w:rsid w:val="00342362"/>
    <w:rsid w:val="00343F53"/>
    <w:rsid w:val="00346E19"/>
    <w:rsid w:val="00347343"/>
    <w:rsid w:val="00351981"/>
    <w:rsid w:val="00352D52"/>
    <w:rsid w:val="003557E4"/>
    <w:rsid w:val="003565B5"/>
    <w:rsid w:val="00364F82"/>
    <w:rsid w:val="00372739"/>
    <w:rsid w:val="00376756"/>
    <w:rsid w:val="0038099D"/>
    <w:rsid w:val="003809EF"/>
    <w:rsid w:val="00384767"/>
    <w:rsid w:val="00384E9D"/>
    <w:rsid w:val="0039072E"/>
    <w:rsid w:val="003A0B40"/>
    <w:rsid w:val="003A177C"/>
    <w:rsid w:val="003A3813"/>
    <w:rsid w:val="003A5B19"/>
    <w:rsid w:val="003A633C"/>
    <w:rsid w:val="003A6DE4"/>
    <w:rsid w:val="003B6A7D"/>
    <w:rsid w:val="003C1291"/>
    <w:rsid w:val="003C2F50"/>
    <w:rsid w:val="003C47BC"/>
    <w:rsid w:val="003C4E75"/>
    <w:rsid w:val="003C4F55"/>
    <w:rsid w:val="003C51F1"/>
    <w:rsid w:val="003C5667"/>
    <w:rsid w:val="003C58DB"/>
    <w:rsid w:val="003D599E"/>
    <w:rsid w:val="003D7486"/>
    <w:rsid w:val="003E134B"/>
    <w:rsid w:val="003E221E"/>
    <w:rsid w:val="003F0E89"/>
    <w:rsid w:val="003F6234"/>
    <w:rsid w:val="003F6332"/>
    <w:rsid w:val="003F6B56"/>
    <w:rsid w:val="00401BD0"/>
    <w:rsid w:val="00407876"/>
    <w:rsid w:val="004105BE"/>
    <w:rsid w:val="004106BD"/>
    <w:rsid w:val="00412F62"/>
    <w:rsid w:val="00414781"/>
    <w:rsid w:val="0041589C"/>
    <w:rsid w:val="00417223"/>
    <w:rsid w:val="00417D5D"/>
    <w:rsid w:val="00420D04"/>
    <w:rsid w:val="00420F0F"/>
    <w:rsid w:val="0042251A"/>
    <w:rsid w:val="00425ABB"/>
    <w:rsid w:val="00425E6D"/>
    <w:rsid w:val="00426581"/>
    <w:rsid w:val="00427730"/>
    <w:rsid w:val="00427C21"/>
    <w:rsid w:val="004347F6"/>
    <w:rsid w:val="004364AB"/>
    <w:rsid w:val="00440809"/>
    <w:rsid w:val="00440C43"/>
    <w:rsid w:val="004417CF"/>
    <w:rsid w:val="00442AE4"/>
    <w:rsid w:val="00444028"/>
    <w:rsid w:val="0045110B"/>
    <w:rsid w:val="00454D09"/>
    <w:rsid w:val="004611CD"/>
    <w:rsid w:val="004635AC"/>
    <w:rsid w:val="0046410A"/>
    <w:rsid w:val="00464E77"/>
    <w:rsid w:val="004658B9"/>
    <w:rsid w:val="004702ED"/>
    <w:rsid w:val="0047357F"/>
    <w:rsid w:val="00477114"/>
    <w:rsid w:val="00481E6F"/>
    <w:rsid w:val="004838C1"/>
    <w:rsid w:val="00483BDE"/>
    <w:rsid w:val="004849DA"/>
    <w:rsid w:val="00484DD5"/>
    <w:rsid w:val="004869C3"/>
    <w:rsid w:val="00490169"/>
    <w:rsid w:val="0049120E"/>
    <w:rsid w:val="00491E6D"/>
    <w:rsid w:val="004A12D1"/>
    <w:rsid w:val="004A25E8"/>
    <w:rsid w:val="004A4F0B"/>
    <w:rsid w:val="004A5CA2"/>
    <w:rsid w:val="004A6AFF"/>
    <w:rsid w:val="004A7295"/>
    <w:rsid w:val="004B0022"/>
    <w:rsid w:val="004C11F7"/>
    <w:rsid w:val="004C1CB0"/>
    <w:rsid w:val="004C7AD0"/>
    <w:rsid w:val="004D10AF"/>
    <w:rsid w:val="004D254D"/>
    <w:rsid w:val="004D4E7C"/>
    <w:rsid w:val="004D4FC1"/>
    <w:rsid w:val="004D5F8B"/>
    <w:rsid w:val="004E5DB5"/>
    <w:rsid w:val="004E6513"/>
    <w:rsid w:val="004E652C"/>
    <w:rsid w:val="004F2AA5"/>
    <w:rsid w:val="004F4390"/>
    <w:rsid w:val="005008DA"/>
    <w:rsid w:val="00500ED7"/>
    <w:rsid w:val="00503E69"/>
    <w:rsid w:val="0051050F"/>
    <w:rsid w:val="00513C18"/>
    <w:rsid w:val="00514DC0"/>
    <w:rsid w:val="00514F1C"/>
    <w:rsid w:val="00516469"/>
    <w:rsid w:val="00521DC9"/>
    <w:rsid w:val="00525526"/>
    <w:rsid w:val="0052760A"/>
    <w:rsid w:val="005309C7"/>
    <w:rsid w:val="00531DF0"/>
    <w:rsid w:val="00534776"/>
    <w:rsid w:val="0054014E"/>
    <w:rsid w:val="00550B17"/>
    <w:rsid w:val="00553176"/>
    <w:rsid w:val="00562FFB"/>
    <w:rsid w:val="0056541B"/>
    <w:rsid w:val="00566F94"/>
    <w:rsid w:val="0057573A"/>
    <w:rsid w:val="00577273"/>
    <w:rsid w:val="00580CC0"/>
    <w:rsid w:val="005810E7"/>
    <w:rsid w:val="0058166A"/>
    <w:rsid w:val="00583A30"/>
    <w:rsid w:val="00584969"/>
    <w:rsid w:val="00586A79"/>
    <w:rsid w:val="00591B30"/>
    <w:rsid w:val="005920F6"/>
    <w:rsid w:val="0059396C"/>
    <w:rsid w:val="005A0B13"/>
    <w:rsid w:val="005A6448"/>
    <w:rsid w:val="005B253D"/>
    <w:rsid w:val="005B7F0D"/>
    <w:rsid w:val="005C1F9C"/>
    <w:rsid w:val="005C64AF"/>
    <w:rsid w:val="005D295E"/>
    <w:rsid w:val="005D768E"/>
    <w:rsid w:val="005E00D3"/>
    <w:rsid w:val="005E3CDE"/>
    <w:rsid w:val="005F609C"/>
    <w:rsid w:val="005F67EC"/>
    <w:rsid w:val="00604B11"/>
    <w:rsid w:val="00607102"/>
    <w:rsid w:val="00610366"/>
    <w:rsid w:val="00610642"/>
    <w:rsid w:val="0061110F"/>
    <w:rsid w:val="00613665"/>
    <w:rsid w:val="00616ABA"/>
    <w:rsid w:val="00616EA7"/>
    <w:rsid w:val="00620C42"/>
    <w:rsid w:val="0062109B"/>
    <w:rsid w:val="00627894"/>
    <w:rsid w:val="0063099F"/>
    <w:rsid w:val="00632FCB"/>
    <w:rsid w:val="00635877"/>
    <w:rsid w:val="00635D98"/>
    <w:rsid w:val="00635E38"/>
    <w:rsid w:val="006365FC"/>
    <w:rsid w:val="006366C4"/>
    <w:rsid w:val="00640190"/>
    <w:rsid w:val="00652387"/>
    <w:rsid w:val="006529D1"/>
    <w:rsid w:val="006541ED"/>
    <w:rsid w:val="00654E4D"/>
    <w:rsid w:val="006642E2"/>
    <w:rsid w:val="00665411"/>
    <w:rsid w:val="0066693E"/>
    <w:rsid w:val="00673564"/>
    <w:rsid w:val="00681619"/>
    <w:rsid w:val="0068399C"/>
    <w:rsid w:val="006863DA"/>
    <w:rsid w:val="00687CEF"/>
    <w:rsid w:val="00691354"/>
    <w:rsid w:val="00691551"/>
    <w:rsid w:val="00693332"/>
    <w:rsid w:val="006939CF"/>
    <w:rsid w:val="00696A14"/>
    <w:rsid w:val="006A0545"/>
    <w:rsid w:val="006A08A4"/>
    <w:rsid w:val="006A29FF"/>
    <w:rsid w:val="006A573C"/>
    <w:rsid w:val="006A7393"/>
    <w:rsid w:val="006A7C12"/>
    <w:rsid w:val="006C242E"/>
    <w:rsid w:val="006C3C5E"/>
    <w:rsid w:val="006C3E65"/>
    <w:rsid w:val="006C4942"/>
    <w:rsid w:val="006D0C57"/>
    <w:rsid w:val="006D2251"/>
    <w:rsid w:val="006D5DB6"/>
    <w:rsid w:val="006E1CE5"/>
    <w:rsid w:val="006E23D6"/>
    <w:rsid w:val="006E37F8"/>
    <w:rsid w:val="006E60D1"/>
    <w:rsid w:val="006E6CEE"/>
    <w:rsid w:val="006F150B"/>
    <w:rsid w:val="006F3159"/>
    <w:rsid w:val="006F3683"/>
    <w:rsid w:val="006F3AAF"/>
    <w:rsid w:val="006F53B1"/>
    <w:rsid w:val="006F7D30"/>
    <w:rsid w:val="00703E9C"/>
    <w:rsid w:val="00707C86"/>
    <w:rsid w:val="007133B5"/>
    <w:rsid w:val="00714A06"/>
    <w:rsid w:val="0071641B"/>
    <w:rsid w:val="00717DA7"/>
    <w:rsid w:val="007202A9"/>
    <w:rsid w:val="00725B27"/>
    <w:rsid w:val="00725E44"/>
    <w:rsid w:val="00733D34"/>
    <w:rsid w:val="00734809"/>
    <w:rsid w:val="0075368B"/>
    <w:rsid w:val="007570B6"/>
    <w:rsid w:val="00757837"/>
    <w:rsid w:val="00757C61"/>
    <w:rsid w:val="00760897"/>
    <w:rsid w:val="00764517"/>
    <w:rsid w:val="00764A23"/>
    <w:rsid w:val="0076546C"/>
    <w:rsid w:val="00767C3B"/>
    <w:rsid w:val="00770659"/>
    <w:rsid w:val="00771050"/>
    <w:rsid w:val="00776E20"/>
    <w:rsid w:val="00781630"/>
    <w:rsid w:val="007825E8"/>
    <w:rsid w:val="0078396D"/>
    <w:rsid w:val="00783ADE"/>
    <w:rsid w:val="00785589"/>
    <w:rsid w:val="0078633E"/>
    <w:rsid w:val="00787630"/>
    <w:rsid w:val="00787CC2"/>
    <w:rsid w:val="00791ABE"/>
    <w:rsid w:val="00795810"/>
    <w:rsid w:val="007A0177"/>
    <w:rsid w:val="007A71F1"/>
    <w:rsid w:val="007A7346"/>
    <w:rsid w:val="007B0EF7"/>
    <w:rsid w:val="007B53E3"/>
    <w:rsid w:val="007B563E"/>
    <w:rsid w:val="007B6498"/>
    <w:rsid w:val="007C4BCF"/>
    <w:rsid w:val="007C56B5"/>
    <w:rsid w:val="007D7B07"/>
    <w:rsid w:val="007E216B"/>
    <w:rsid w:val="007E2369"/>
    <w:rsid w:val="007E43F7"/>
    <w:rsid w:val="007E55A1"/>
    <w:rsid w:val="007F0FBF"/>
    <w:rsid w:val="007F2FF7"/>
    <w:rsid w:val="00805D50"/>
    <w:rsid w:val="00805E39"/>
    <w:rsid w:val="00806197"/>
    <w:rsid w:val="00813525"/>
    <w:rsid w:val="00814BB9"/>
    <w:rsid w:val="00822070"/>
    <w:rsid w:val="008244F6"/>
    <w:rsid w:val="00825D7E"/>
    <w:rsid w:val="00825F24"/>
    <w:rsid w:val="0082730D"/>
    <w:rsid w:val="00830E7B"/>
    <w:rsid w:val="00831478"/>
    <w:rsid w:val="00831726"/>
    <w:rsid w:val="00835709"/>
    <w:rsid w:val="00840F4B"/>
    <w:rsid w:val="00842916"/>
    <w:rsid w:val="00850C8B"/>
    <w:rsid w:val="008540E8"/>
    <w:rsid w:val="00854163"/>
    <w:rsid w:val="0085787A"/>
    <w:rsid w:val="008650C0"/>
    <w:rsid w:val="00865617"/>
    <w:rsid w:val="00874674"/>
    <w:rsid w:val="008779AF"/>
    <w:rsid w:val="00877B77"/>
    <w:rsid w:val="00880DD8"/>
    <w:rsid w:val="008813F3"/>
    <w:rsid w:val="00884E7B"/>
    <w:rsid w:val="00886705"/>
    <w:rsid w:val="00887D8D"/>
    <w:rsid w:val="00891066"/>
    <w:rsid w:val="00893A73"/>
    <w:rsid w:val="008A073B"/>
    <w:rsid w:val="008A6AB8"/>
    <w:rsid w:val="008B006F"/>
    <w:rsid w:val="008B36B2"/>
    <w:rsid w:val="008B4D4D"/>
    <w:rsid w:val="008B7A7C"/>
    <w:rsid w:val="008C0AF2"/>
    <w:rsid w:val="008C0F75"/>
    <w:rsid w:val="008C2433"/>
    <w:rsid w:val="008C53AB"/>
    <w:rsid w:val="008C7ADA"/>
    <w:rsid w:val="008D519C"/>
    <w:rsid w:val="008D66D6"/>
    <w:rsid w:val="008E032E"/>
    <w:rsid w:val="008E38DA"/>
    <w:rsid w:val="008E528B"/>
    <w:rsid w:val="008F3724"/>
    <w:rsid w:val="00901159"/>
    <w:rsid w:val="00904CCC"/>
    <w:rsid w:val="0090629F"/>
    <w:rsid w:val="009072BE"/>
    <w:rsid w:val="009072E1"/>
    <w:rsid w:val="009074BC"/>
    <w:rsid w:val="009105E0"/>
    <w:rsid w:val="009127B5"/>
    <w:rsid w:val="009127F2"/>
    <w:rsid w:val="00915A0A"/>
    <w:rsid w:val="00917A47"/>
    <w:rsid w:val="00922806"/>
    <w:rsid w:val="00940B08"/>
    <w:rsid w:val="0094325B"/>
    <w:rsid w:val="00946D1A"/>
    <w:rsid w:val="00946FC7"/>
    <w:rsid w:val="009507E5"/>
    <w:rsid w:val="00952FF3"/>
    <w:rsid w:val="00957311"/>
    <w:rsid w:val="00963EF9"/>
    <w:rsid w:val="009674D8"/>
    <w:rsid w:val="009674E6"/>
    <w:rsid w:val="00970579"/>
    <w:rsid w:val="00973C99"/>
    <w:rsid w:val="009749D0"/>
    <w:rsid w:val="009761A8"/>
    <w:rsid w:val="009806FE"/>
    <w:rsid w:val="00980870"/>
    <w:rsid w:val="00981F8A"/>
    <w:rsid w:val="00982901"/>
    <w:rsid w:val="0098529A"/>
    <w:rsid w:val="00986E25"/>
    <w:rsid w:val="00992D5F"/>
    <w:rsid w:val="00993A5B"/>
    <w:rsid w:val="00995D7B"/>
    <w:rsid w:val="009A239B"/>
    <w:rsid w:val="009A5D4A"/>
    <w:rsid w:val="009A6238"/>
    <w:rsid w:val="009B306A"/>
    <w:rsid w:val="009B4130"/>
    <w:rsid w:val="009C5C30"/>
    <w:rsid w:val="009D15FF"/>
    <w:rsid w:val="009D272B"/>
    <w:rsid w:val="009D5A48"/>
    <w:rsid w:val="009D68B3"/>
    <w:rsid w:val="009E400D"/>
    <w:rsid w:val="009E4AB6"/>
    <w:rsid w:val="009E4CB5"/>
    <w:rsid w:val="009E5899"/>
    <w:rsid w:val="009F0B92"/>
    <w:rsid w:val="009F14A3"/>
    <w:rsid w:val="009F2842"/>
    <w:rsid w:val="009F6403"/>
    <w:rsid w:val="00A00714"/>
    <w:rsid w:val="00A01435"/>
    <w:rsid w:val="00A01635"/>
    <w:rsid w:val="00A027CC"/>
    <w:rsid w:val="00A03A3F"/>
    <w:rsid w:val="00A05D02"/>
    <w:rsid w:val="00A05E42"/>
    <w:rsid w:val="00A07EBC"/>
    <w:rsid w:val="00A103E9"/>
    <w:rsid w:val="00A10D81"/>
    <w:rsid w:val="00A1532B"/>
    <w:rsid w:val="00A20DC2"/>
    <w:rsid w:val="00A31A25"/>
    <w:rsid w:val="00A331AA"/>
    <w:rsid w:val="00A33D39"/>
    <w:rsid w:val="00A40117"/>
    <w:rsid w:val="00A475E4"/>
    <w:rsid w:val="00A53C48"/>
    <w:rsid w:val="00A55241"/>
    <w:rsid w:val="00A56022"/>
    <w:rsid w:val="00A5643A"/>
    <w:rsid w:val="00A56ACE"/>
    <w:rsid w:val="00A6169B"/>
    <w:rsid w:val="00A619D8"/>
    <w:rsid w:val="00A61A1F"/>
    <w:rsid w:val="00A64D87"/>
    <w:rsid w:val="00A67DF2"/>
    <w:rsid w:val="00A7229B"/>
    <w:rsid w:val="00A82BAD"/>
    <w:rsid w:val="00A8504D"/>
    <w:rsid w:val="00A9062D"/>
    <w:rsid w:val="00A90F2E"/>
    <w:rsid w:val="00A91D3B"/>
    <w:rsid w:val="00A91D89"/>
    <w:rsid w:val="00A93EA6"/>
    <w:rsid w:val="00A9433C"/>
    <w:rsid w:val="00A94674"/>
    <w:rsid w:val="00A94940"/>
    <w:rsid w:val="00A94C24"/>
    <w:rsid w:val="00A9685B"/>
    <w:rsid w:val="00AA1E01"/>
    <w:rsid w:val="00AA28E9"/>
    <w:rsid w:val="00AA4CD2"/>
    <w:rsid w:val="00AA65CD"/>
    <w:rsid w:val="00AB396B"/>
    <w:rsid w:val="00AB43D1"/>
    <w:rsid w:val="00AC4A76"/>
    <w:rsid w:val="00AD577D"/>
    <w:rsid w:val="00AD5869"/>
    <w:rsid w:val="00AD641F"/>
    <w:rsid w:val="00AD6BBB"/>
    <w:rsid w:val="00AD77B4"/>
    <w:rsid w:val="00AF0CD7"/>
    <w:rsid w:val="00AF1325"/>
    <w:rsid w:val="00AF731E"/>
    <w:rsid w:val="00B011C6"/>
    <w:rsid w:val="00B05569"/>
    <w:rsid w:val="00B13DA9"/>
    <w:rsid w:val="00B13FC2"/>
    <w:rsid w:val="00B1635B"/>
    <w:rsid w:val="00B17BDC"/>
    <w:rsid w:val="00B23E30"/>
    <w:rsid w:val="00B24B75"/>
    <w:rsid w:val="00B26AFF"/>
    <w:rsid w:val="00B31FF3"/>
    <w:rsid w:val="00B32C23"/>
    <w:rsid w:val="00B42612"/>
    <w:rsid w:val="00B4401E"/>
    <w:rsid w:val="00B458BD"/>
    <w:rsid w:val="00B45B3A"/>
    <w:rsid w:val="00B460AB"/>
    <w:rsid w:val="00B462DD"/>
    <w:rsid w:val="00B469B2"/>
    <w:rsid w:val="00B47024"/>
    <w:rsid w:val="00B5148C"/>
    <w:rsid w:val="00B51665"/>
    <w:rsid w:val="00B52628"/>
    <w:rsid w:val="00B53127"/>
    <w:rsid w:val="00B54758"/>
    <w:rsid w:val="00B647D5"/>
    <w:rsid w:val="00B64AFE"/>
    <w:rsid w:val="00B71F0A"/>
    <w:rsid w:val="00B72B68"/>
    <w:rsid w:val="00B72C60"/>
    <w:rsid w:val="00B75F37"/>
    <w:rsid w:val="00B86AA2"/>
    <w:rsid w:val="00B912AC"/>
    <w:rsid w:val="00B93A33"/>
    <w:rsid w:val="00B97149"/>
    <w:rsid w:val="00BA56B1"/>
    <w:rsid w:val="00BA7C77"/>
    <w:rsid w:val="00BB2E1A"/>
    <w:rsid w:val="00BB3BC2"/>
    <w:rsid w:val="00BB46BC"/>
    <w:rsid w:val="00BB4A41"/>
    <w:rsid w:val="00BB4D08"/>
    <w:rsid w:val="00BB5171"/>
    <w:rsid w:val="00BC2B91"/>
    <w:rsid w:val="00BC3E18"/>
    <w:rsid w:val="00BC5472"/>
    <w:rsid w:val="00BC6446"/>
    <w:rsid w:val="00BC79BF"/>
    <w:rsid w:val="00BD3B26"/>
    <w:rsid w:val="00BE3045"/>
    <w:rsid w:val="00BE7DE0"/>
    <w:rsid w:val="00BF306B"/>
    <w:rsid w:val="00BF5685"/>
    <w:rsid w:val="00C001C5"/>
    <w:rsid w:val="00C00413"/>
    <w:rsid w:val="00C02889"/>
    <w:rsid w:val="00C058F3"/>
    <w:rsid w:val="00C06797"/>
    <w:rsid w:val="00C137F1"/>
    <w:rsid w:val="00C1392C"/>
    <w:rsid w:val="00C13E39"/>
    <w:rsid w:val="00C23327"/>
    <w:rsid w:val="00C25361"/>
    <w:rsid w:val="00C259C1"/>
    <w:rsid w:val="00C32634"/>
    <w:rsid w:val="00C41814"/>
    <w:rsid w:val="00C428B8"/>
    <w:rsid w:val="00C45935"/>
    <w:rsid w:val="00C503EC"/>
    <w:rsid w:val="00C51C41"/>
    <w:rsid w:val="00C52214"/>
    <w:rsid w:val="00C52845"/>
    <w:rsid w:val="00C54822"/>
    <w:rsid w:val="00C578E8"/>
    <w:rsid w:val="00C611EE"/>
    <w:rsid w:val="00C62700"/>
    <w:rsid w:val="00C6585D"/>
    <w:rsid w:val="00C67C33"/>
    <w:rsid w:val="00C71617"/>
    <w:rsid w:val="00C74578"/>
    <w:rsid w:val="00C74690"/>
    <w:rsid w:val="00C74A21"/>
    <w:rsid w:val="00C7674B"/>
    <w:rsid w:val="00C80884"/>
    <w:rsid w:val="00C81C04"/>
    <w:rsid w:val="00C82A83"/>
    <w:rsid w:val="00C836AF"/>
    <w:rsid w:val="00C861BD"/>
    <w:rsid w:val="00C87096"/>
    <w:rsid w:val="00C94244"/>
    <w:rsid w:val="00C949C7"/>
    <w:rsid w:val="00CA0572"/>
    <w:rsid w:val="00CA4502"/>
    <w:rsid w:val="00CA5E75"/>
    <w:rsid w:val="00CA7548"/>
    <w:rsid w:val="00CB0046"/>
    <w:rsid w:val="00CB3729"/>
    <w:rsid w:val="00CB4AC4"/>
    <w:rsid w:val="00CC3CD9"/>
    <w:rsid w:val="00CC3D44"/>
    <w:rsid w:val="00CC3D72"/>
    <w:rsid w:val="00CC3DC1"/>
    <w:rsid w:val="00CC4F50"/>
    <w:rsid w:val="00CD38B9"/>
    <w:rsid w:val="00CD506F"/>
    <w:rsid w:val="00CD53B6"/>
    <w:rsid w:val="00CD7E1F"/>
    <w:rsid w:val="00CE0581"/>
    <w:rsid w:val="00CE437F"/>
    <w:rsid w:val="00CF3352"/>
    <w:rsid w:val="00CF35C5"/>
    <w:rsid w:val="00CF3BFB"/>
    <w:rsid w:val="00D04BF3"/>
    <w:rsid w:val="00D05F23"/>
    <w:rsid w:val="00D06676"/>
    <w:rsid w:val="00D06BCF"/>
    <w:rsid w:val="00D07020"/>
    <w:rsid w:val="00D12974"/>
    <w:rsid w:val="00D231F9"/>
    <w:rsid w:val="00D2506E"/>
    <w:rsid w:val="00D34B39"/>
    <w:rsid w:val="00D34B64"/>
    <w:rsid w:val="00D44272"/>
    <w:rsid w:val="00D51105"/>
    <w:rsid w:val="00D547CB"/>
    <w:rsid w:val="00D556CD"/>
    <w:rsid w:val="00D70F59"/>
    <w:rsid w:val="00D71A6C"/>
    <w:rsid w:val="00D71EA2"/>
    <w:rsid w:val="00D75657"/>
    <w:rsid w:val="00D76FFB"/>
    <w:rsid w:val="00D8236C"/>
    <w:rsid w:val="00D82A2F"/>
    <w:rsid w:val="00D82C34"/>
    <w:rsid w:val="00D83BD9"/>
    <w:rsid w:val="00DA4CD5"/>
    <w:rsid w:val="00DB28D6"/>
    <w:rsid w:val="00DB4651"/>
    <w:rsid w:val="00DC0A77"/>
    <w:rsid w:val="00DC511F"/>
    <w:rsid w:val="00DC67FB"/>
    <w:rsid w:val="00DD4F4B"/>
    <w:rsid w:val="00DD646D"/>
    <w:rsid w:val="00DD73DC"/>
    <w:rsid w:val="00DE0258"/>
    <w:rsid w:val="00DE09E2"/>
    <w:rsid w:val="00DE5783"/>
    <w:rsid w:val="00DF032D"/>
    <w:rsid w:val="00DF0587"/>
    <w:rsid w:val="00DF21A0"/>
    <w:rsid w:val="00DF5E9E"/>
    <w:rsid w:val="00DF5F0A"/>
    <w:rsid w:val="00DF6123"/>
    <w:rsid w:val="00E034B5"/>
    <w:rsid w:val="00E0715F"/>
    <w:rsid w:val="00E10860"/>
    <w:rsid w:val="00E112FE"/>
    <w:rsid w:val="00E1177E"/>
    <w:rsid w:val="00E17784"/>
    <w:rsid w:val="00E2541A"/>
    <w:rsid w:val="00E25CF9"/>
    <w:rsid w:val="00E30D0B"/>
    <w:rsid w:val="00E3458E"/>
    <w:rsid w:val="00E351CE"/>
    <w:rsid w:val="00E50A61"/>
    <w:rsid w:val="00E511AB"/>
    <w:rsid w:val="00E52CF8"/>
    <w:rsid w:val="00E5492F"/>
    <w:rsid w:val="00E55C94"/>
    <w:rsid w:val="00E5668D"/>
    <w:rsid w:val="00E6135D"/>
    <w:rsid w:val="00E623AE"/>
    <w:rsid w:val="00E62B61"/>
    <w:rsid w:val="00E64870"/>
    <w:rsid w:val="00E70F60"/>
    <w:rsid w:val="00E72451"/>
    <w:rsid w:val="00E74926"/>
    <w:rsid w:val="00E76DFC"/>
    <w:rsid w:val="00E81786"/>
    <w:rsid w:val="00E84D2B"/>
    <w:rsid w:val="00E919C7"/>
    <w:rsid w:val="00EA56DD"/>
    <w:rsid w:val="00EB027A"/>
    <w:rsid w:val="00EB14FA"/>
    <w:rsid w:val="00EB347A"/>
    <w:rsid w:val="00EB458C"/>
    <w:rsid w:val="00EB6DDF"/>
    <w:rsid w:val="00EB736C"/>
    <w:rsid w:val="00EB77A4"/>
    <w:rsid w:val="00EC2428"/>
    <w:rsid w:val="00EC4262"/>
    <w:rsid w:val="00EC772B"/>
    <w:rsid w:val="00ED0B1D"/>
    <w:rsid w:val="00ED0E1C"/>
    <w:rsid w:val="00ED4A7F"/>
    <w:rsid w:val="00EE1560"/>
    <w:rsid w:val="00EE1617"/>
    <w:rsid w:val="00EE1B63"/>
    <w:rsid w:val="00EE23CD"/>
    <w:rsid w:val="00EE242B"/>
    <w:rsid w:val="00EF35F8"/>
    <w:rsid w:val="00EF552F"/>
    <w:rsid w:val="00EF789F"/>
    <w:rsid w:val="00F018C9"/>
    <w:rsid w:val="00F052A1"/>
    <w:rsid w:val="00F060C2"/>
    <w:rsid w:val="00F0743C"/>
    <w:rsid w:val="00F10FB3"/>
    <w:rsid w:val="00F16059"/>
    <w:rsid w:val="00F20C83"/>
    <w:rsid w:val="00F211D8"/>
    <w:rsid w:val="00F22B15"/>
    <w:rsid w:val="00F26161"/>
    <w:rsid w:val="00F2706D"/>
    <w:rsid w:val="00F30DD7"/>
    <w:rsid w:val="00F34483"/>
    <w:rsid w:val="00F37097"/>
    <w:rsid w:val="00F4050B"/>
    <w:rsid w:val="00F40BEE"/>
    <w:rsid w:val="00F41E44"/>
    <w:rsid w:val="00F4235F"/>
    <w:rsid w:val="00F42B1E"/>
    <w:rsid w:val="00F46227"/>
    <w:rsid w:val="00F47BE6"/>
    <w:rsid w:val="00F505C7"/>
    <w:rsid w:val="00F507D9"/>
    <w:rsid w:val="00F52B4A"/>
    <w:rsid w:val="00F56B74"/>
    <w:rsid w:val="00F62B3B"/>
    <w:rsid w:val="00F65863"/>
    <w:rsid w:val="00F671A0"/>
    <w:rsid w:val="00F67202"/>
    <w:rsid w:val="00F73BFC"/>
    <w:rsid w:val="00F73E6B"/>
    <w:rsid w:val="00F744BF"/>
    <w:rsid w:val="00F745E5"/>
    <w:rsid w:val="00F81052"/>
    <w:rsid w:val="00F8128B"/>
    <w:rsid w:val="00F82C5D"/>
    <w:rsid w:val="00F83BFD"/>
    <w:rsid w:val="00F84306"/>
    <w:rsid w:val="00F86CD2"/>
    <w:rsid w:val="00F86DD8"/>
    <w:rsid w:val="00F9149B"/>
    <w:rsid w:val="00F94044"/>
    <w:rsid w:val="00F9718F"/>
    <w:rsid w:val="00FA1DBC"/>
    <w:rsid w:val="00FA58FB"/>
    <w:rsid w:val="00FB17A8"/>
    <w:rsid w:val="00FD21A6"/>
    <w:rsid w:val="00FD2662"/>
    <w:rsid w:val="00FE1351"/>
    <w:rsid w:val="00FE225E"/>
    <w:rsid w:val="00FE3814"/>
    <w:rsid w:val="00FE57A2"/>
    <w:rsid w:val="00FF32F2"/>
    <w:rsid w:val="00FF4395"/>
    <w:rsid w:val="00FF5D1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19DF369"/>
  <w14:defaultImageDpi w14:val="96"/>
  <w15:docId w15:val="{951D3F63-886C-C44B-91A9-90228EC865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theme="minorHAns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rsid w:val="00407876"/>
    <w:pPr>
      <w:spacing w:after="160" w:line="259" w:lineRule="auto"/>
    </w:pPr>
    <w:rPr>
      <w:rFonts w:ascii="Calibri" w:hAnsi="Calibri" w:cs="Calibri"/>
      <w:color w:val="000000"/>
      <w:sz w:val="22"/>
      <w:szCs w:val="22"/>
    </w:rPr>
  </w:style>
  <w:style w:type="paragraph" w:styleId="Heading1">
    <w:name w:val="heading 1"/>
    <w:basedOn w:val="Normal"/>
    <w:next w:val="Normal"/>
    <w:link w:val="Heading1Char"/>
    <w:qFormat/>
    <w:rsid w:val="004A25E8"/>
    <w:pPr>
      <w:keepNext/>
      <w:keepLines/>
      <w:spacing w:before="480" w:after="120"/>
      <w:outlineLvl w:val="0"/>
    </w:pPr>
    <w:rPr>
      <w:b/>
      <w:sz w:val="48"/>
      <w:szCs w:val="48"/>
    </w:rPr>
  </w:style>
  <w:style w:type="paragraph" w:styleId="Heading2">
    <w:name w:val="heading 2"/>
    <w:basedOn w:val="Normal"/>
    <w:next w:val="Normal"/>
    <w:link w:val="Heading2Char"/>
    <w:uiPriority w:val="9"/>
    <w:rsid w:val="004A25E8"/>
    <w:pPr>
      <w:keepNext/>
      <w:keepLines/>
      <w:spacing w:before="360" w:after="80"/>
      <w:outlineLvl w:val="1"/>
    </w:pPr>
    <w:rPr>
      <w:b/>
      <w:sz w:val="36"/>
      <w:szCs w:val="36"/>
    </w:rPr>
  </w:style>
  <w:style w:type="paragraph" w:styleId="Heading3">
    <w:name w:val="heading 3"/>
    <w:basedOn w:val="Normal"/>
    <w:next w:val="Normal"/>
    <w:link w:val="Heading3Char"/>
    <w:uiPriority w:val="9"/>
    <w:rsid w:val="004A25E8"/>
    <w:pPr>
      <w:keepNext/>
      <w:keepLines/>
      <w:spacing w:before="280" w:after="80"/>
      <w:outlineLvl w:val="2"/>
    </w:pPr>
    <w:rPr>
      <w:b/>
      <w:sz w:val="28"/>
      <w:szCs w:val="28"/>
    </w:rPr>
  </w:style>
  <w:style w:type="paragraph" w:styleId="Heading4">
    <w:name w:val="heading 4"/>
    <w:basedOn w:val="Normal"/>
    <w:next w:val="Normal"/>
    <w:link w:val="Heading4Char"/>
    <w:uiPriority w:val="9"/>
    <w:rsid w:val="004A25E8"/>
    <w:pPr>
      <w:keepNext/>
      <w:keepLines/>
      <w:spacing w:before="240" w:after="40"/>
      <w:outlineLvl w:val="3"/>
    </w:pPr>
    <w:rPr>
      <w:b/>
      <w:sz w:val="24"/>
      <w:szCs w:val="24"/>
    </w:rPr>
  </w:style>
  <w:style w:type="paragraph" w:styleId="Heading5">
    <w:name w:val="heading 5"/>
    <w:basedOn w:val="Normal"/>
    <w:next w:val="Normal"/>
    <w:link w:val="Heading5Char"/>
    <w:uiPriority w:val="9"/>
    <w:rsid w:val="004A25E8"/>
    <w:pPr>
      <w:keepNext/>
      <w:keepLines/>
      <w:spacing w:before="220" w:after="40"/>
      <w:outlineLvl w:val="4"/>
    </w:pPr>
    <w:rPr>
      <w:b/>
    </w:rPr>
  </w:style>
  <w:style w:type="paragraph" w:styleId="Heading6">
    <w:name w:val="heading 6"/>
    <w:basedOn w:val="Normal"/>
    <w:next w:val="Normal"/>
    <w:link w:val="Heading6Char"/>
    <w:uiPriority w:val="9"/>
    <w:rsid w:val="004A25E8"/>
    <w:pPr>
      <w:keepNext/>
      <w:keepLines/>
      <w:spacing w:before="200" w:after="40"/>
      <w:outlineLvl w:val="5"/>
    </w:pPr>
    <w:rPr>
      <w:b/>
      <w:sz w:val="20"/>
      <w:szCs w:val="20"/>
    </w:rPr>
  </w:style>
  <w:style w:type="paragraph" w:styleId="Heading7">
    <w:name w:val="heading 7"/>
    <w:basedOn w:val="Normal"/>
    <w:next w:val="Normal"/>
    <w:link w:val="Heading7Char"/>
    <w:uiPriority w:val="9"/>
    <w:unhideWhenUsed/>
    <w:qFormat/>
    <w:rsid w:val="004A25E8"/>
    <w:pPr>
      <w:keepNext/>
      <w:keepLines/>
      <w:spacing w:before="40" w:after="0"/>
      <w:outlineLvl w:val="6"/>
    </w:pPr>
    <w:rPr>
      <w:rFonts w:asciiTheme="majorHAnsi" w:eastAsiaTheme="majorEastAsia" w:hAnsiTheme="majorHAnsi" w:cs="Times New Roman"/>
      <w:i/>
      <w:iCs/>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4A25E8"/>
    <w:rPr>
      <w:rFonts w:ascii="Calibri" w:eastAsia="Times New Roman" w:hAnsi="Calibri" w:cs="Calibri"/>
      <w:b/>
      <w:color w:val="000000"/>
      <w:sz w:val="48"/>
      <w:szCs w:val="48"/>
    </w:rPr>
  </w:style>
  <w:style w:type="character" w:customStyle="1" w:styleId="Heading2Char">
    <w:name w:val="Heading 2 Char"/>
    <w:basedOn w:val="DefaultParagraphFont"/>
    <w:link w:val="Heading2"/>
    <w:uiPriority w:val="9"/>
    <w:locked/>
    <w:rsid w:val="004A25E8"/>
    <w:rPr>
      <w:rFonts w:ascii="Calibri" w:eastAsia="Times New Roman" w:hAnsi="Calibri" w:cs="Calibri"/>
      <w:b/>
      <w:color w:val="000000"/>
      <w:sz w:val="36"/>
      <w:szCs w:val="36"/>
    </w:rPr>
  </w:style>
  <w:style w:type="character" w:customStyle="1" w:styleId="Heading3Char">
    <w:name w:val="Heading 3 Char"/>
    <w:basedOn w:val="DefaultParagraphFont"/>
    <w:link w:val="Heading3"/>
    <w:uiPriority w:val="9"/>
    <w:locked/>
    <w:rsid w:val="004A25E8"/>
    <w:rPr>
      <w:rFonts w:ascii="Calibri" w:eastAsia="Times New Roman" w:hAnsi="Calibri" w:cs="Calibri"/>
      <w:b/>
      <w:color w:val="000000"/>
      <w:sz w:val="28"/>
      <w:szCs w:val="28"/>
    </w:rPr>
  </w:style>
  <w:style w:type="character" w:customStyle="1" w:styleId="Heading4Char">
    <w:name w:val="Heading 4 Char"/>
    <w:basedOn w:val="DefaultParagraphFont"/>
    <w:link w:val="Heading4"/>
    <w:uiPriority w:val="9"/>
    <w:locked/>
    <w:rsid w:val="004A25E8"/>
    <w:rPr>
      <w:rFonts w:ascii="Calibri" w:eastAsia="Times New Roman" w:hAnsi="Calibri" w:cs="Calibri"/>
      <w:b/>
      <w:color w:val="000000"/>
    </w:rPr>
  </w:style>
  <w:style w:type="character" w:customStyle="1" w:styleId="Heading5Char">
    <w:name w:val="Heading 5 Char"/>
    <w:basedOn w:val="DefaultParagraphFont"/>
    <w:link w:val="Heading5"/>
    <w:uiPriority w:val="9"/>
    <w:locked/>
    <w:rsid w:val="004A25E8"/>
    <w:rPr>
      <w:rFonts w:ascii="Calibri" w:eastAsia="Times New Roman" w:hAnsi="Calibri" w:cs="Calibri"/>
      <w:b/>
      <w:color w:val="000000"/>
      <w:sz w:val="22"/>
      <w:szCs w:val="22"/>
    </w:rPr>
  </w:style>
  <w:style w:type="character" w:customStyle="1" w:styleId="Heading6Char">
    <w:name w:val="Heading 6 Char"/>
    <w:basedOn w:val="DefaultParagraphFont"/>
    <w:link w:val="Heading6"/>
    <w:uiPriority w:val="9"/>
    <w:locked/>
    <w:rsid w:val="004A25E8"/>
    <w:rPr>
      <w:rFonts w:ascii="Calibri" w:eastAsia="Times New Roman" w:hAnsi="Calibri" w:cs="Calibri"/>
      <w:b/>
      <w:color w:val="000000"/>
      <w:sz w:val="20"/>
      <w:szCs w:val="20"/>
    </w:rPr>
  </w:style>
  <w:style w:type="character" w:customStyle="1" w:styleId="Heading7Char">
    <w:name w:val="Heading 7 Char"/>
    <w:basedOn w:val="DefaultParagraphFont"/>
    <w:link w:val="Heading7"/>
    <w:uiPriority w:val="9"/>
    <w:locked/>
    <w:rsid w:val="004A25E8"/>
    <w:rPr>
      <w:rFonts w:asciiTheme="majorHAnsi" w:eastAsiaTheme="majorEastAsia" w:hAnsiTheme="majorHAnsi" w:cs="Times New Roman"/>
      <w:i/>
      <w:iCs/>
      <w:color w:val="1F3763" w:themeColor="accent1" w:themeShade="7F"/>
      <w:sz w:val="22"/>
      <w:szCs w:val="22"/>
    </w:rPr>
  </w:style>
  <w:style w:type="paragraph" w:styleId="Title">
    <w:name w:val="Title"/>
    <w:basedOn w:val="Normal"/>
    <w:next w:val="Normal"/>
    <w:link w:val="TitleChar"/>
    <w:uiPriority w:val="10"/>
    <w:rsid w:val="004A25E8"/>
    <w:pPr>
      <w:spacing w:after="0" w:line="240" w:lineRule="auto"/>
      <w:contextualSpacing/>
    </w:pPr>
    <w:rPr>
      <w:sz w:val="56"/>
      <w:szCs w:val="56"/>
    </w:rPr>
  </w:style>
  <w:style w:type="character" w:customStyle="1" w:styleId="TitleChar">
    <w:name w:val="Title Char"/>
    <w:basedOn w:val="DefaultParagraphFont"/>
    <w:link w:val="Title"/>
    <w:uiPriority w:val="10"/>
    <w:locked/>
    <w:rsid w:val="004A25E8"/>
    <w:rPr>
      <w:rFonts w:ascii="Calibri" w:eastAsia="Times New Roman" w:hAnsi="Calibri" w:cs="Calibri"/>
      <w:color w:val="000000"/>
      <w:sz w:val="56"/>
      <w:szCs w:val="56"/>
    </w:rPr>
  </w:style>
  <w:style w:type="paragraph" w:styleId="Subtitle">
    <w:name w:val="Subtitle"/>
    <w:basedOn w:val="Normal"/>
    <w:next w:val="Normal"/>
    <w:link w:val="SubtitleChar"/>
    <w:uiPriority w:val="11"/>
    <w:rsid w:val="004A25E8"/>
    <w:pPr>
      <w:keepNext/>
      <w:keepLines/>
      <w:spacing w:before="360" w:after="80"/>
    </w:pPr>
    <w:rPr>
      <w:rFonts w:ascii="Georgia" w:hAnsi="Georgia" w:cs="Georgia"/>
      <w:i/>
      <w:color w:val="666666"/>
      <w:sz w:val="48"/>
      <w:szCs w:val="48"/>
    </w:rPr>
  </w:style>
  <w:style w:type="character" w:customStyle="1" w:styleId="SubtitleChar">
    <w:name w:val="Subtitle Char"/>
    <w:basedOn w:val="DefaultParagraphFont"/>
    <w:link w:val="Subtitle"/>
    <w:uiPriority w:val="11"/>
    <w:locked/>
    <w:rsid w:val="004A25E8"/>
    <w:rPr>
      <w:rFonts w:ascii="Georgia" w:eastAsia="Times New Roman" w:hAnsi="Georgia" w:cs="Georgia"/>
      <w:i/>
      <w:color w:val="666666"/>
      <w:sz w:val="48"/>
      <w:szCs w:val="48"/>
    </w:rPr>
  </w:style>
  <w:style w:type="paragraph" w:styleId="CommentText">
    <w:name w:val="annotation text"/>
    <w:basedOn w:val="Normal"/>
    <w:link w:val="CommentTextChar"/>
    <w:uiPriority w:val="99"/>
    <w:unhideWhenUsed/>
    <w:rsid w:val="004A25E8"/>
    <w:pPr>
      <w:spacing w:line="240" w:lineRule="auto"/>
    </w:pPr>
    <w:rPr>
      <w:sz w:val="24"/>
      <w:szCs w:val="24"/>
    </w:rPr>
  </w:style>
  <w:style w:type="character" w:customStyle="1" w:styleId="CommentTextChar">
    <w:name w:val="Comment Text Char"/>
    <w:basedOn w:val="DefaultParagraphFont"/>
    <w:link w:val="CommentText"/>
    <w:uiPriority w:val="99"/>
    <w:locked/>
    <w:rsid w:val="004A25E8"/>
    <w:rPr>
      <w:rFonts w:ascii="Calibri" w:eastAsia="Times New Roman" w:hAnsi="Calibri" w:cs="Calibri"/>
      <w:color w:val="000000"/>
    </w:rPr>
  </w:style>
  <w:style w:type="character" w:styleId="CommentReference">
    <w:name w:val="annotation reference"/>
    <w:basedOn w:val="DefaultParagraphFont"/>
    <w:uiPriority w:val="99"/>
    <w:semiHidden/>
    <w:unhideWhenUsed/>
    <w:rsid w:val="004A25E8"/>
    <w:rPr>
      <w:rFonts w:cs="Times New Roman"/>
      <w:sz w:val="18"/>
      <w:szCs w:val="18"/>
    </w:rPr>
  </w:style>
  <w:style w:type="paragraph" w:styleId="BalloonText">
    <w:name w:val="Balloon Text"/>
    <w:basedOn w:val="Normal"/>
    <w:link w:val="BalloonTextChar"/>
    <w:uiPriority w:val="99"/>
    <w:semiHidden/>
    <w:unhideWhenUsed/>
    <w:rsid w:val="004A25E8"/>
    <w:pPr>
      <w:spacing w:after="0" w:line="240" w:lineRule="auto"/>
    </w:pPr>
    <w:rPr>
      <w:rFonts w:ascii="Times New Roman" w:hAnsi="Times New Roman"/>
      <w:sz w:val="18"/>
      <w:szCs w:val="18"/>
    </w:rPr>
  </w:style>
  <w:style w:type="character" w:customStyle="1" w:styleId="BalloonTextChar">
    <w:name w:val="Balloon Text Char"/>
    <w:basedOn w:val="DefaultParagraphFont"/>
    <w:link w:val="BalloonText"/>
    <w:uiPriority w:val="99"/>
    <w:semiHidden/>
    <w:locked/>
    <w:rsid w:val="004A25E8"/>
    <w:rPr>
      <w:rFonts w:ascii="Times New Roman" w:eastAsia="Times New Roman" w:hAnsi="Times New Roman" w:cs="Calibri"/>
      <w:color w:val="000000"/>
      <w:sz w:val="18"/>
      <w:szCs w:val="18"/>
    </w:rPr>
  </w:style>
  <w:style w:type="paragraph" w:styleId="CommentSubject">
    <w:name w:val="annotation subject"/>
    <w:basedOn w:val="CommentText"/>
    <w:next w:val="CommentText"/>
    <w:link w:val="CommentSubjectChar"/>
    <w:uiPriority w:val="99"/>
    <w:semiHidden/>
    <w:unhideWhenUsed/>
    <w:rsid w:val="004A25E8"/>
    <w:rPr>
      <w:b/>
      <w:bCs/>
      <w:sz w:val="20"/>
      <w:szCs w:val="20"/>
    </w:rPr>
  </w:style>
  <w:style w:type="character" w:customStyle="1" w:styleId="CommentSubjectChar">
    <w:name w:val="Comment Subject Char"/>
    <w:basedOn w:val="CommentTextChar"/>
    <w:link w:val="CommentSubject"/>
    <w:uiPriority w:val="99"/>
    <w:semiHidden/>
    <w:locked/>
    <w:rsid w:val="004A25E8"/>
    <w:rPr>
      <w:rFonts w:ascii="Calibri" w:eastAsia="Times New Roman" w:hAnsi="Calibri" w:cs="Calibri"/>
      <w:b/>
      <w:bCs/>
      <w:color w:val="000000"/>
      <w:sz w:val="20"/>
      <w:szCs w:val="20"/>
    </w:rPr>
  </w:style>
  <w:style w:type="character" w:styleId="PlaceholderText">
    <w:name w:val="Placeholder Text"/>
    <w:basedOn w:val="DefaultParagraphFont"/>
    <w:uiPriority w:val="99"/>
    <w:semiHidden/>
    <w:rsid w:val="004A25E8"/>
    <w:rPr>
      <w:rFonts w:cs="Times New Roman"/>
      <w:color w:val="808080"/>
    </w:rPr>
  </w:style>
  <w:style w:type="paragraph" w:styleId="Header">
    <w:name w:val="header"/>
    <w:basedOn w:val="Normal"/>
    <w:link w:val="HeaderChar"/>
    <w:uiPriority w:val="99"/>
    <w:unhideWhenUsed/>
    <w:rsid w:val="004A25E8"/>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4A25E8"/>
    <w:rPr>
      <w:rFonts w:ascii="Calibri" w:eastAsia="Times New Roman" w:hAnsi="Calibri" w:cs="Calibri"/>
      <w:color w:val="000000"/>
      <w:sz w:val="22"/>
      <w:szCs w:val="22"/>
    </w:rPr>
  </w:style>
  <w:style w:type="paragraph" w:styleId="Footer">
    <w:name w:val="footer"/>
    <w:basedOn w:val="Normal"/>
    <w:link w:val="FooterChar"/>
    <w:uiPriority w:val="99"/>
    <w:unhideWhenUsed/>
    <w:rsid w:val="004A25E8"/>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4A25E8"/>
    <w:rPr>
      <w:rFonts w:ascii="Calibri" w:eastAsia="Times New Roman" w:hAnsi="Calibri" w:cs="Calibri"/>
      <w:color w:val="000000"/>
      <w:sz w:val="22"/>
      <w:szCs w:val="22"/>
    </w:rPr>
  </w:style>
  <w:style w:type="paragraph" w:styleId="ListParagraph">
    <w:name w:val="List Paragraph"/>
    <w:basedOn w:val="Normal"/>
    <w:uiPriority w:val="34"/>
    <w:qFormat/>
    <w:rsid w:val="004A25E8"/>
    <w:pPr>
      <w:ind w:left="720"/>
      <w:contextualSpacing/>
    </w:pPr>
  </w:style>
  <w:style w:type="paragraph" w:styleId="NormalWeb">
    <w:name w:val="Normal (Web)"/>
    <w:basedOn w:val="Normal"/>
    <w:uiPriority w:val="99"/>
    <w:semiHidden/>
    <w:unhideWhenUsed/>
    <w:rsid w:val="004A25E8"/>
    <w:pPr>
      <w:spacing w:before="100" w:beforeAutospacing="1" w:after="100" w:afterAutospacing="1" w:line="240" w:lineRule="auto"/>
    </w:pPr>
    <w:rPr>
      <w:rFonts w:ascii="Times New Roman" w:hAnsi="Times New Roman" w:cs="Times New Roman"/>
      <w:color w:val="auto"/>
      <w:sz w:val="24"/>
      <w:szCs w:val="24"/>
    </w:rPr>
  </w:style>
  <w:style w:type="character" w:styleId="Strong">
    <w:name w:val="Strong"/>
    <w:basedOn w:val="DefaultParagraphFont"/>
    <w:uiPriority w:val="22"/>
    <w:qFormat/>
    <w:rsid w:val="004A25E8"/>
    <w:rPr>
      <w:rFonts w:cs="Times New Roman"/>
      <w:b/>
      <w:bCs/>
    </w:rPr>
  </w:style>
  <w:style w:type="paragraph" w:styleId="Quote">
    <w:name w:val="Quote"/>
    <w:basedOn w:val="Normal"/>
    <w:next w:val="Normal"/>
    <w:link w:val="QuoteChar"/>
    <w:uiPriority w:val="29"/>
    <w:qFormat/>
    <w:rsid w:val="004A25E8"/>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locked/>
    <w:rsid w:val="004A25E8"/>
    <w:rPr>
      <w:rFonts w:ascii="Calibri" w:eastAsia="Times New Roman" w:hAnsi="Calibri" w:cs="Calibri"/>
      <w:i/>
      <w:iCs/>
      <w:color w:val="404040" w:themeColor="text1" w:themeTint="BF"/>
      <w:sz w:val="22"/>
      <w:szCs w:val="22"/>
    </w:rPr>
  </w:style>
  <w:style w:type="character" w:styleId="LineNumber">
    <w:name w:val="line number"/>
    <w:basedOn w:val="DefaultParagraphFont"/>
    <w:uiPriority w:val="99"/>
    <w:semiHidden/>
    <w:unhideWhenUsed/>
    <w:rsid w:val="004A25E8"/>
    <w:rPr>
      <w:rFonts w:cs="Times New Roman"/>
    </w:rPr>
  </w:style>
  <w:style w:type="paragraph" w:customStyle="1" w:styleId="MStitle">
    <w:name w:val="MS title"/>
    <w:basedOn w:val="Normal"/>
    <w:link w:val="MStitleChar"/>
    <w:qFormat/>
    <w:rsid w:val="00BB4A41"/>
    <w:pPr>
      <w:spacing w:before="360" w:after="0" w:line="440" w:lineRule="exact"/>
      <w:contextualSpacing/>
      <w:jc w:val="both"/>
    </w:pPr>
    <w:rPr>
      <w:rFonts w:ascii="Times New Roman" w:hAnsi="Times New Roman" w:cs="Times New Roman"/>
      <w:b/>
      <w:color w:val="auto"/>
      <w:sz w:val="34"/>
      <w:szCs w:val="24"/>
      <w:lang w:val="en-GB" w:eastAsia="de-DE"/>
    </w:rPr>
  </w:style>
  <w:style w:type="character" w:customStyle="1" w:styleId="MStitleChar">
    <w:name w:val="MS title Char"/>
    <w:basedOn w:val="DefaultParagraphFont"/>
    <w:link w:val="MStitle"/>
    <w:rsid w:val="00BB4A41"/>
    <w:rPr>
      <w:rFonts w:ascii="Times New Roman" w:hAnsi="Times New Roman" w:cs="Times New Roman"/>
      <w:b/>
      <w:sz w:val="34"/>
      <w:lang w:val="en-GB" w:eastAsia="de-DE"/>
    </w:rPr>
  </w:style>
  <w:style w:type="paragraph" w:customStyle="1" w:styleId="Authors">
    <w:name w:val="Authors"/>
    <w:basedOn w:val="Normal"/>
    <w:link w:val="AuthorsChar"/>
    <w:qFormat/>
    <w:rsid w:val="00BB4A41"/>
    <w:pPr>
      <w:spacing w:before="180" w:after="0" w:line="240" w:lineRule="auto"/>
      <w:contextualSpacing/>
      <w:jc w:val="both"/>
    </w:pPr>
    <w:rPr>
      <w:rFonts w:ascii="Times New Roman" w:hAnsi="Times New Roman" w:cs="Times New Roman"/>
      <w:color w:val="auto"/>
      <w:sz w:val="24"/>
      <w:szCs w:val="24"/>
      <w:lang w:val="en-GB" w:eastAsia="de-DE"/>
    </w:rPr>
  </w:style>
  <w:style w:type="character" w:customStyle="1" w:styleId="AuthorsChar">
    <w:name w:val="Authors Char"/>
    <w:basedOn w:val="DefaultParagraphFont"/>
    <w:link w:val="Authors"/>
    <w:rsid w:val="00BB4A41"/>
    <w:rPr>
      <w:rFonts w:ascii="Times New Roman" w:hAnsi="Times New Roman" w:cs="Times New Roman"/>
      <w:lang w:val="en-GB" w:eastAsia="de-DE"/>
    </w:rPr>
  </w:style>
  <w:style w:type="character" w:customStyle="1" w:styleId="current-selection">
    <w:name w:val="current-selection"/>
    <w:basedOn w:val="DefaultParagraphFont"/>
    <w:rsid w:val="004D10AF"/>
  </w:style>
  <w:style w:type="paragraph" w:customStyle="1" w:styleId="Affiliation">
    <w:name w:val="Affiliation"/>
    <w:basedOn w:val="Normal"/>
    <w:link w:val="AffiliationChar"/>
    <w:qFormat/>
    <w:rsid w:val="004D10AF"/>
    <w:pPr>
      <w:spacing w:before="120" w:after="0" w:line="240" w:lineRule="auto"/>
      <w:contextualSpacing/>
      <w:jc w:val="both"/>
    </w:pPr>
    <w:rPr>
      <w:rFonts w:ascii="Times New Roman" w:hAnsi="Times New Roman" w:cs="Times New Roman"/>
      <w:color w:val="auto"/>
      <w:sz w:val="20"/>
      <w:szCs w:val="24"/>
      <w:lang w:val="en-GB" w:eastAsia="de-DE"/>
    </w:rPr>
  </w:style>
  <w:style w:type="character" w:customStyle="1" w:styleId="AffiliationChar">
    <w:name w:val="Affiliation Char"/>
    <w:basedOn w:val="DefaultParagraphFont"/>
    <w:link w:val="Affiliation"/>
    <w:rsid w:val="004D10AF"/>
    <w:rPr>
      <w:rFonts w:ascii="Times New Roman" w:hAnsi="Times New Roman" w:cs="Times New Roman"/>
      <w:sz w:val="20"/>
      <w:lang w:val="en-GB" w:eastAsia="de-DE"/>
    </w:rPr>
  </w:style>
  <w:style w:type="paragraph" w:customStyle="1" w:styleId="Correspondence">
    <w:name w:val="Correspondence"/>
    <w:basedOn w:val="Normal"/>
    <w:link w:val="CorrespondenceChar"/>
    <w:qFormat/>
    <w:rsid w:val="00A00714"/>
    <w:pPr>
      <w:spacing w:before="120" w:after="360" w:line="240" w:lineRule="auto"/>
      <w:jc w:val="both"/>
    </w:pPr>
    <w:rPr>
      <w:rFonts w:ascii="Times New Roman" w:hAnsi="Times New Roman" w:cs="Times New Roman"/>
      <w:color w:val="auto"/>
      <w:sz w:val="20"/>
      <w:szCs w:val="24"/>
      <w:lang w:val="en-GB" w:eastAsia="de-DE"/>
    </w:rPr>
  </w:style>
  <w:style w:type="character" w:customStyle="1" w:styleId="CorrespondenceChar">
    <w:name w:val="Correspondence Char"/>
    <w:basedOn w:val="DefaultParagraphFont"/>
    <w:link w:val="Correspondence"/>
    <w:rsid w:val="00A00714"/>
    <w:rPr>
      <w:rFonts w:ascii="Times New Roman" w:hAnsi="Times New Roman" w:cs="Times New Roman"/>
      <w:sz w:val="20"/>
      <w:lang w:val="en-GB" w:eastAsia="de-DE"/>
    </w:rPr>
  </w:style>
  <w:style w:type="character" w:styleId="Hyperlink">
    <w:name w:val="Hyperlink"/>
    <w:basedOn w:val="DefaultParagraphFont"/>
    <w:uiPriority w:val="99"/>
    <w:unhideWhenUsed/>
    <w:rsid w:val="00F744BF"/>
    <w:rPr>
      <w:color w:val="0000FF"/>
      <w:u w:val="single"/>
    </w:rPr>
  </w:style>
  <w:style w:type="paragraph" w:styleId="FootnoteText">
    <w:name w:val="footnote text"/>
    <w:basedOn w:val="Normal"/>
    <w:link w:val="FootnoteTextChar"/>
    <w:uiPriority w:val="99"/>
    <w:semiHidden/>
    <w:unhideWhenUsed/>
    <w:rsid w:val="00BC79B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C79BF"/>
    <w:rPr>
      <w:rFonts w:ascii="Calibri" w:hAnsi="Calibri" w:cs="Calibri"/>
      <w:color w:val="000000"/>
      <w:sz w:val="20"/>
      <w:szCs w:val="20"/>
    </w:rPr>
  </w:style>
  <w:style w:type="character" w:styleId="FootnoteReference">
    <w:name w:val="footnote reference"/>
    <w:basedOn w:val="DefaultParagraphFont"/>
    <w:uiPriority w:val="99"/>
    <w:semiHidden/>
    <w:unhideWhenUsed/>
    <w:rsid w:val="00BC79BF"/>
    <w:rPr>
      <w:vertAlign w:val="superscript"/>
    </w:rPr>
  </w:style>
  <w:style w:type="character" w:styleId="EndnoteReference">
    <w:name w:val="endnote reference"/>
    <w:basedOn w:val="DefaultParagraphFont"/>
    <w:uiPriority w:val="99"/>
    <w:semiHidden/>
    <w:unhideWhenUsed/>
    <w:rsid w:val="00132169"/>
    <w:rPr>
      <w:vertAlign w:val="superscript"/>
    </w:rPr>
  </w:style>
  <w:style w:type="character" w:customStyle="1" w:styleId="UnresolvedMention1">
    <w:name w:val="Unresolved Mention1"/>
    <w:basedOn w:val="DefaultParagraphFont"/>
    <w:uiPriority w:val="99"/>
    <w:semiHidden/>
    <w:unhideWhenUsed/>
    <w:rsid w:val="00F41E44"/>
    <w:rPr>
      <w:color w:val="808080"/>
      <w:shd w:val="clear" w:color="auto" w:fill="E6E6E6"/>
    </w:rPr>
  </w:style>
  <w:style w:type="paragraph" w:styleId="Revision">
    <w:name w:val="Revision"/>
    <w:hidden/>
    <w:uiPriority w:val="99"/>
    <w:semiHidden/>
    <w:rsid w:val="00627894"/>
    <w:rPr>
      <w:rFonts w:ascii="Calibri" w:hAnsi="Calibri" w:cs="Calibri"/>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798570">
      <w:bodyDiv w:val="1"/>
      <w:marLeft w:val="0"/>
      <w:marRight w:val="0"/>
      <w:marTop w:val="0"/>
      <w:marBottom w:val="0"/>
      <w:divBdr>
        <w:top w:val="none" w:sz="0" w:space="0" w:color="auto"/>
        <w:left w:val="none" w:sz="0" w:space="0" w:color="auto"/>
        <w:bottom w:val="none" w:sz="0" w:space="0" w:color="auto"/>
        <w:right w:val="none" w:sz="0" w:space="0" w:color="auto"/>
      </w:divBdr>
    </w:div>
    <w:div w:id="51391293">
      <w:bodyDiv w:val="1"/>
      <w:marLeft w:val="0"/>
      <w:marRight w:val="0"/>
      <w:marTop w:val="0"/>
      <w:marBottom w:val="0"/>
      <w:divBdr>
        <w:top w:val="none" w:sz="0" w:space="0" w:color="auto"/>
        <w:left w:val="none" w:sz="0" w:space="0" w:color="auto"/>
        <w:bottom w:val="none" w:sz="0" w:space="0" w:color="auto"/>
        <w:right w:val="none" w:sz="0" w:space="0" w:color="auto"/>
      </w:divBdr>
    </w:div>
    <w:div w:id="56784157">
      <w:bodyDiv w:val="1"/>
      <w:marLeft w:val="0"/>
      <w:marRight w:val="0"/>
      <w:marTop w:val="0"/>
      <w:marBottom w:val="0"/>
      <w:divBdr>
        <w:top w:val="none" w:sz="0" w:space="0" w:color="auto"/>
        <w:left w:val="none" w:sz="0" w:space="0" w:color="auto"/>
        <w:bottom w:val="none" w:sz="0" w:space="0" w:color="auto"/>
        <w:right w:val="none" w:sz="0" w:space="0" w:color="auto"/>
      </w:divBdr>
    </w:div>
    <w:div w:id="152914709">
      <w:bodyDiv w:val="1"/>
      <w:marLeft w:val="0"/>
      <w:marRight w:val="0"/>
      <w:marTop w:val="0"/>
      <w:marBottom w:val="0"/>
      <w:divBdr>
        <w:top w:val="none" w:sz="0" w:space="0" w:color="auto"/>
        <w:left w:val="none" w:sz="0" w:space="0" w:color="auto"/>
        <w:bottom w:val="none" w:sz="0" w:space="0" w:color="auto"/>
        <w:right w:val="none" w:sz="0" w:space="0" w:color="auto"/>
      </w:divBdr>
    </w:div>
    <w:div w:id="235896664">
      <w:bodyDiv w:val="1"/>
      <w:marLeft w:val="0"/>
      <w:marRight w:val="0"/>
      <w:marTop w:val="0"/>
      <w:marBottom w:val="0"/>
      <w:divBdr>
        <w:top w:val="none" w:sz="0" w:space="0" w:color="auto"/>
        <w:left w:val="none" w:sz="0" w:space="0" w:color="auto"/>
        <w:bottom w:val="none" w:sz="0" w:space="0" w:color="auto"/>
        <w:right w:val="none" w:sz="0" w:space="0" w:color="auto"/>
      </w:divBdr>
    </w:div>
    <w:div w:id="245574863">
      <w:bodyDiv w:val="1"/>
      <w:marLeft w:val="0"/>
      <w:marRight w:val="0"/>
      <w:marTop w:val="0"/>
      <w:marBottom w:val="0"/>
      <w:divBdr>
        <w:top w:val="none" w:sz="0" w:space="0" w:color="auto"/>
        <w:left w:val="none" w:sz="0" w:space="0" w:color="auto"/>
        <w:bottom w:val="none" w:sz="0" w:space="0" w:color="auto"/>
        <w:right w:val="none" w:sz="0" w:space="0" w:color="auto"/>
      </w:divBdr>
    </w:div>
    <w:div w:id="269242570">
      <w:bodyDiv w:val="1"/>
      <w:marLeft w:val="0"/>
      <w:marRight w:val="0"/>
      <w:marTop w:val="0"/>
      <w:marBottom w:val="0"/>
      <w:divBdr>
        <w:top w:val="none" w:sz="0" w:space="0" w:color="auto"/>
        <w:left w:val="none" w:sz="0" w:space="0" w:color="auto"/>
        <w:bottom w:val="none" w:sz="0" w:space="0" w:color="auto"/>
        <w:right w:val="none" w:sz="0" w:space="0" w:color="auto"/>
      </w:divBdr>
    </w:div>
    <w:div w:id="362101905">
      <w:bodyDiv w:val="1"/>
      <w:marLeft w:val="0"/>
      <w:marRight w:val="0"/>
      <w:marTop w:val="0"/>
      <w:marBottom w:val="0"/>
      <w:divBdr>
        <w:top w:val="none" w:sz="0" w:space="0" w:color="auto"/>
        <w:left w:val="none" w:sz="0" w:space="0" w:color="auto"/>
        <w:bottom w:val="none" w:sz="0" w:space="0" w:color="auto"/>
        <w:right w:val="none" w:sz="0" w:space="0" w:color="auto"/>
      </w:divBdr>
    </w:div>
    <w:div w:id="365981345">
      <w:bodyDiv w:val="1"/>
      <w:marLeft w:val="0"/>
      <w:marRight w:val="0"/>
      <w:marTop w:val="0"/>
      <w:marBottom w:val="0"/>
      <w:divBdr>
        <w:top w:val="none" w:sz="0" w:space="0" w:color="auto"/>
        <w:left w:val="none" w:sz="0" w:space="0" w:color="auto"/>
        <w:bottom w:val="none" w:sz="0" w:space="0" w:color="auto"/>
        <w:right w:val="none" w:sz="0" w:space="0" w:color="auto"/>
      </w:divBdr>
    </w:div>
    <w:div w:id="401954060">
      <w:bodyDiv w:val="1"/>
      <w:marLeft w:val="0"/>
      <w:marRight w:val="0"/>
      <w:marTop w:val="0"/>
      <w:marBottom w:val="0"/>
      <w:divBdr>
        <w:top w:val="none" w:sz="0" w:space="0" w:color="auto"/>
        <w:left w:val="none" w:sz="0" w:space="0" w:color="auto"/>
        <w:bottom w:val="none" w:sz="0" w:space="0" w:color="auto"/>
        <w:right w:val="none" w:sz="0" w:space="0" w:color="auto"/>
      </w:divBdr>
    </w:div>
    <w:div w:id="522982966">
      <w:bodyDiv w:val="1"/>
      <w:marLeft w:val="0"/>
      <w:marRight w:val="0"/>
      <w:marTop w:val="0"/>
      <w:marBottom w:val="0"/>
      <w:divBdr>
        <w:top w:val="none" w:sz="0" w:space="0" w:color="auto"/>
        <w:left w:val="none" w:sz="0" w:space="0" w:color="auto"/>
        <w:bottom w:val="none" w:sz="0" w:space="0" w:color="auto"/>
        <w:right w:val="none" w:sz="0" w:space="0" w:color="auto"/>
      </w:divBdr>
      <w:divsChild>
        <w:div w:id="190723710">
          <w:marLeft w:val="0"/>
          <w:marRight w:val="0"/>
          <w:marTop w:val="0"/>
          <w:marBottom w:val="0"/>
          <w:divBdr>
            <w:top w:val="none" w:sz="0" w:space="0" w:color="auto"/>
            <w:left w:val="none" w:sz="0" w:space="0" w:color="auto"/>
            <w:bottom w:val="none" w:sz="0" w:space="0" w:color="auto"/>
            <w:right w:val="none" w:sz="0" w:space="0" w:color="auto"/>
          </w:divBdr>
        </w:div>
        <w:div w:id="1252203145">
          <w:marLeft w:val="0"/>
          <w:marRight w:val="0"/>
          <w:marTop w:val="0"/>
          <w:marBottom w:val="0"/>
          <w:divBdr>
            <w:top w:val="none" w:sz="0" w:space="0" w:color="auto"/>
            <w:left w:val="none" w:sz="0" w:space="0" w:color="auto"/>
            <w:bottom w:val="none" w:sz="0" w:space="0" w:color="auto"/>
            <w:right w:val="none" w:sz="0" w:space="0" w:color="auto"/>
          </w:divBdr>
        </w:div>
        <w:div w:id="1613241402">
          <w:marLeft w:val="0"/>
          <w:marRight w:val="0"/>
          <w:marTop w:val="0"/>
          <w:marBottom w:val="0"/>
          <w:divBdr>
            <w:top w:val="none" w:sz="0" w:space="0" w:color="auto"/>
            <w:left w:val="none" w:sz="0" w:space="0" w:color="auto"/>
            <w:bottom w:val="none" w:sz="0" w:space="0" w:color="auto"/>
            <w:right w:val="none" w:sz="0" w:space="0" w:color="auto"/>
          </w:divBdr>
        </w:div>
        <w:div w:id="1870951731">
          <w:marLeft w:val="0"/>
          <w:marRight w:val="0"/>
          <w:marTop w:val="0"/>
          <w:marBottom w:val="0"/>
          <w:divBdr>
            <w:top w:val="none" w:sz="0" w:space="0" w:color="auto"/>
            <w:left w:val="none" w:sz="0" w:space="0" w:color="auto"/>
            <w:bottom w:val="none" w:sz="0" w:space="0" w:color="auto"/>
            <w:right w:val="none" w:sz="0" w:space="0" w:color="auto"/>
          </w:divBdr>
        </w:div>
      </w:divsChild>
    </w:div>
    <w:div w:id="986862608">
      <w:bodyDiv w:val="1"/>
      <w:marLeft w:val="0"/>
      <w:marRight w:val="0"/>
      <w:marTop w:val="0"/>
      <w:marBottom w:val="0"/>
      <w:divBdr>
        <w:top w:val="none" w:sz="0" w:space="0" w:color="auto"/>
        <w:left w:val="none" w:sz="0" w:space="0" w:color="auto"/>
        <w:bottom w:val="none" w:sz="0" w:space="0" w:color="auto"/>
        <w:right w:val="none" w:sz="0" w:space="0" w:color="auto"/>
      </w:divBdr>
    </w:div>
    <w:div w:id="989601334">
      <w:bodyDiv w:val="1"/>
      <w:marLeft w:val="0"/>
      <w:marRight w:val="0"/>
      <w:marTop w:val="0"/>
      <w:marBottom w:val="0"/>
      <w:divBdr>
        <w:top w:val="none" w:sz="0" w:space="0" w:color="auto"/>
        <w:left w:val="none" w:sz="0" w:space="0" w:color="auto"/>
        <w:bottom w:val="none" w:sz="0" w:space="0" w:color="auto"/>
        <w:right w:val="none" w:sz="0" w:space="0" w:color="auto"/>
      </w:divBdr>
    </w:div>
    <w:div w:id="1038117082">
      <w:bodyDiv w:val="1"/>
      <w:marLeft w:val="0"/>
      <w:marRight w:val="0"/>
      <w:marTop w:val="0"/>
      <w:marBottom w:val="0"/>
      <w:divBdr>
        <w:top w:val="none" w:sz="0" w:space="0" w:color="auto"/>
        <w:left w:val="none" w:sz="0" w:space="0" w:color="auto"/>
        <w:bottom w:val="none" w:sz="0" w:space="0" w:color="auto"/>
        <w:right w:val="none" w:sz="0" w:space="0" w:color="auto"/>
      </w:divBdr>
      <w:divsChild>
        <w:div w:id="110832094">
          <w:marLeft w:val="0"/>
          <w:marRight w:val="0"/>
          <w:marTop w:val="0"/>
          <w:marBottom w:val="0"/>
          <w:divBdr>
            <w:top w:val="none" w:sz="0" w:space="0" w:color="auto"/>
            <w:left w:val="none" w:sz="0" w:space="0" w:color="auto"/>
            <w:bottom w:val="none" w:sz="0" w:space="0" w:color="auto"/>
            <w:right w:val="none" w:sz="0" w:space="0" w:color="auto"/>
          </w:divBdr>
        </w:div>
        <w:div w:id="222906850">
          <w:marLeft w:val="0"/>
          <w:marRight w:val="0"/>
          <w:marTop w:val="0"/>
          <w:marBottom w:val="0"/>
          <w:divBdr>
            <w:top w:val="none" w:sz="0" w:space="0" w:color="auto"/>
            <w:left w:val="none" w:sz="0" w:space="0" w:color="auto"/>
            <w:bottom w:val="none" w:sz="0" w:space="0" w:color="auto"/>
            <w:right w:val="none" w:sz="0" w:space="0" w:color="auto"/>
          </w:divBdr>
        </w:div>
        <w:div w:id="1201749979">
          <w:marLeft w:val="0"/>
          <w:marRight w:val="0"/>
          <w:marTop w:val="0"/>
          <w:marBottom w:val="0"/>
          <w:divBdr>
            <w:top w:val="none" w:sz="0" w:space="0" w:color="auto"/>
            <w:left w:val="none" w:sz="0" w:space="0" w:color="auto"/>
            <w:bottom w:val="none" w:sz="0" w:space="0" w:color="auto"/>
            <w:right w:val="none" w:sz="0" w:space="0" w:color="auto"/>
          </w:divBdr>
        </w:div>
      </w:divsChild>
    </w:div>
    <w:div w:id="1252668086">
      <w:bodyDiv w:val="1"/>
      <w:marLeft w:val="0"/>
      <w:marRight w:val="0"/>
      <w:marTop w:val="0"/>
      <w:marBottom w:val="0"/>
      <w:divBdr>
        <w:top w:val="none" w:sz="0" w:space="0" w:color="auto"/>
        <w:left w:val="none" w:sz="0" w:space="0" w:color="auto"/>
        <w:bottom w:val="none" w:sz="0" w:space="0" w:color="auto"/>
        <w:right w:val="none" w:sz="0" w:space="0" w:color="auto"/>
      </w:divBdr>
    </w:div>
    <w:div w:id="1366325288">
      <w:marLeft w:val="0"/>
      <w:marRight w:val="0"/>
      <w:marTop w:val="0"/>
      <w:marBottom w:val="0"/>
      <w:divBdr>
        <w:top w:val="none" w:sz="0" w:space="0" w:color="auto"/>
        <w:left w:val="none" w:sz="0" w:space="0" w:color="auto"/>
        <w:bottom w:val="none" w:sz="0" w:space="0" w:color="auto"/>
        <w:right w:val="none" w:sz="0" w:space="0" w:color="auto"/>
      </w:divBdr>
    </w:div>
    <w:div w:id="1495102645">
      <w:bodyDiv w:val="1"/>
      <w:marLeft w:val="0"/>
      <w:marRight w:val="0"/>
      <w:marTop w:val="0"/>
      <w:marBottom w:val="0"/>
      <w:divBdr>
        <w:top w:val="none" w:sz="0" w:space="0" w:color="auto"/>
        <w:left w:val="none" w:sz="0" w:space="0" w:color="auto"/>
        <w:bottom w:val="none" w:sz="0" w:space="0" w:color="auto"/>
        <w:right w:val="none" w:sz="0" w:space="0" w:color="auto"/>
      </w:divBdr>
    </w:div>
    <w:div w:id="1561672589">
      <w:bodyDiv w:val="1"/>
      <w:marLeft w:val="0"/>
      <w:marRight w:val="0"/>
      <w:marTop w:val="0"/>
      <w:marBottom w:val="0"/>
      <w:divBdr>
        <w:top w:val="none" w:sz="0" w:space="0" w:color="auto"/>
        <w:left w:val="none" w:sz="0" w:space="0" w:color="auto"/>
        <w:bottom w:val="none" w:sz="0" w:space="0" w:color="auto"/>
        <w:right w:val="none" w:sz="0" w:space="0" w:color="auto"/>
      </w:divBdr>
      <w:divsChild>
        <w:div w:id="754208255">
          <w:marLeft w:val="0"/>
          <w:marRight w:val="0"/>
          <w:marTop w:val="0"/>
          <w:marBottom w:val="0"/>
          <w:divBdr>
            <w:top w:val="none" w:sz="0" w:space="0" w:color="auto"/>
            <w:left w:val="none" w:sz="0" w:space="0" w:color="auto"/>
            <w:bottom w:val="none" w:sz="0" w:space="0" w:color="auto"/>
            <w:right w:val="none" w:sz="0" w:space="0" w:color="auto"/>
          </w:divBdr>
        </w:div>
        <w:div w:id="1259099776">
          <w:marLeft w:val="0"/>
          <w:marRight w:val="0"/>
          <w:marTop w:val="0"/>
          <w:marBottom w:val="0"/>
          <w:divBdr>
            <w:top w:val="none" w:sz="0" w:space="0" w:color="auto"/>
            <w:left w:val="none" w:sz="0" w:space="0" w:color="auto"/>
            <w:bottom w:val="none" w:sz="0" w:space="0" w:color="auto"/>
            <w:right w:val="none" w:sz="0" w:space="0" w:color="auto"/>
          </w:divBdr>
        </w:div>
        <w:div w:id="2089838250">
          <w:marLeft w:val="0"/>
          <w:marRight w:val="0"/>
          <w:marTop w:val="0"/>
          <w:marBottom w:val="0"/>
          <w:divBdr>
            <w:top w:val="none" w:sz="0" w:space="0" w:color="auto"/>
            <w:left w:val="none" w:sz="0" w:space="0" w:color="auto"/>
            <w:bottom w:val="none" w:sz="0" w:space="0" w:color="auto"/>
            <w:right w:val="none" w:sz="0" w:space="0" w:color="auto"/>
          </w:divBdr>
        </w:div>
      </w:divsChild>
    </w:div>
    <w:div w:id="1570071857">
      <w:bodyDiv w:val="1"/>
      <w:marLeft w:val="0"/>
      <w:marRight w:val="0"/>
      <w:marTop w:val="0"/>
      <w:marBottom w:val="0"/>
      <w:divBdr>
        <w:top w:val="none" w:sz="0" w:space="0" w:color="auto"/>
        <w:left w:val="none" w:sz="0" w:space="0" w:color="auto"/>
        <w:bottom w:val="none" w:sz="0" w:space="0" w:color="auto"/>
        <w:right w:val="none" w:sz="0" w:space="0" w:color="auto"/>
      </w:divBdr>
    </w:div>
    <w:div w:id="1588266628">
      <w:bodyDiv w:val="1"/>
      <w:marLeft w:val="0"/>
      <w:marRight w:val="0"/>
      <w:marTop w:val="0"/>
      <w:marBottom w:val="0"/>
      <w:divBdr>
        <w:top w:val="none" w:sz="0" w:space="0" w:color="auto"/>
        <w:left w:val="none" w:sz="0" w:space="0" w:color="auto"/>
        <w:bottom w:val="none" w:sz="0" w:space="0" w:color="auto"/>
        <w:right w:val="none" w:sz="0" w:space="0" w:color="auto"/>
      </w:divBdr>
    </w:div>
    <w:div w:id="1706835114">
      <w:bodyDiv w:val="1"/>
      <w:marLeft w:val="0"/>
      <w:marRight w:val="0"/>
      <w:marTop w:val="0"/>
      <w:marBottom w:val="0"/>
      <w:divBdr>
        <w:top w:val="none" w:sz="0" w:space="0" w:color="auto"/>
        <w:left w:val="none" w:sz="0" w:space="0" w:color="auto"/>
        <w:bottom w:val="none" w:sz="0" w:space="0" w:color="auto"/>
        <w:right w:val="none" w:sz="0" w:space="0" w:color="auto"/>
      </w:divBdr>
    </w:div>
    <w:div w:id="1855264689">
      <w:bodyDiv w:val="1"/>
      <w:marLeft w:val="0"/>
      <w:marRight w:val="0"/>
      <w:marTop w:val="0"/>
      <w:marBottom w:val="0"/>
      <w:divBdr>
        <w:top w:val="none" w:sz="0" w:space="0" w:color="auto"/>
        <w:left w:val="none" w:sz="0" w:space="0" w:color="auto"/>
        <w:bottom w:val="none" w:sz="0" w:space="0" w:color="auto"/>
        <w:right w:val="none" w:sz="0" w:space="0" w:color="auto"/>
      </w:divBdr>
    </w:div>
    <w:div w:id="20712221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homayounfar@ufl.edu" TargetMode="External"/><Relationship Id="rId13" Type="http://schemas.openxmlformats.org/officeDocument/2006/relationships/image" Target="media/image4.png"/><Relationship Id="rId18" Type="http://schemas.openxmlformats.org/officeDocument/2006/relationships/image" Target="media/image9.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emf"/><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hyperlink" Target="http://www.legislation.gov.uk/ukpga/2014/21/contents/enacted" TargetMode="External"/><Relationship Id="rId14" Type="http://schemas.openxmlformats.org/officeDocument/2006/relationships/image" Target="media/image5.png"/><Relationship Id="rId22" Type="http://schemas.openxmlformats.org/officeDocument/2006/relationships/image" Target="media/image13.(nul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7B93B8-0AD0-4C5A-B077-3C55E765AC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16</Pages>
  <Words>26377</Words>
  <Characters>150349</Characters>
  <Application>Microsoft Office Word</Application>
  <DocSecurity>0</DocSecurity>
  <Lines>1252</Lines>
  <Paragraphs>352</Paragraphs>
  <ScaleCrop>false</ScaleCrop>
  <HeadingPairs>
    <vt:vector size="2" baseType="variant">
      <vt:variant>
        <vt:lpstr>Title</vt:lpstr>
      </vt:variant>
      <vt:variant>
        <vt:i4>1</vt:i4>
      </vt:variant>
    </vt:vector>
  </HeadingPairs>
  <TitlesOfParts>
    <vt:vector size="1" baseType="lpstr">
      <vt:lpstr/>
    </vt:vector>
  </TitlesOfParts>
  <Company>University of Florida</Company>
  <LinksUpToDate>false</LinksUpToDate>
  <CharactersWithSpaces>176374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Rachata Muneepeerakul</dc:creator>
  <cp:keywords/>
  <dc:description/>
  <cp:lastModifiedBy>Mehran</cp:lastModifiedBy>
  <cp:revision>44</cp:revision>
  <cp:lastPrinted>2017-11-14T20:01:00Z</cp:lastPrinted>
  <dcterms:created xsi:type="dcterms:W3CDTF">2018-04-20T09:57:00Z</dcterms:created>
  <dcterms:modified xsi:type="dcterms:W3CDTF">2018-04-22T17:31:00Z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c971394d-c934-33ec-a697-d301790149a7</vt:lpwstr>
  </property>
  <property fmtid="{D5CDD505-2E9C-101B-9397-08002B2CF9AE}" pid="24" name="Mendeley Citation Style_1">
    <vt:lpwstr>http://www.zotero.org/styles/modern-language-association</vt:lpwstr>
  </property>
</Properties>
</file>